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北京市水务局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依据《中华人民共和国政府信息公开条例》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以下简称《政府信息公开条例》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第五十条规定，编制本报告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ascii="黑体" w:hAnsi="黑体" w:eastAsia="黑体" w:cs="宋体"/>
          <w:kern w:val="0"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市水务局聚焦安全保障、民生服务、生态治理和水务发展能力，不断提升首都治水效能。依据“三定”职责和水务工作实际，持续加强政府信息规范化、标准化、信息化管理，优化网站平台建设，强化政民沟通互动，努力提高政府信息公开工作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（一）巩固组织领导体系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建立由主管副局长领导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局办公室牵头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智慧水务院支撑，局属各单位、机关各处室共同参与的政务公开工作体系，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工作流程纳入办公系统，明确各层级责任，形成工作合力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（二）主动公开政府信息情况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年，在市水务局网站主动公开政府信息4046条，其中，工作动态类信息2961条,财政类信息996条,人事类信息89条。在网站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对拟出台的规范性文件、标准公开征集意见，及时发布印发的政策性文件并在政府公报刊发；积极邀请社会媒体、特约人员、市民代表等参加水务系统工作会议、专题会议，当面征求意见，解读政策。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（三）依申请公开办理情况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年，严格遵循公正、公平、合法、便民的原则，对政府信息申请公开和答复内容、流程认真审查，加强与申请人沟通，做好指导、解释和宣传工作。全年收到政府信息公开申请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件，结转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2024年收到申请1件，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已依法依规予以答复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67件，另有4件转入2026年办理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（四）政府信息管理情况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明确政府信息公开内容、责任制和流程，细化主动公开更新频率标准，做到公开工作有据可依。狠抓政府信息公开的及时性、准确性，确保第一时间在平台发布、更新。加强依申请公开与档案管理工作融合，保障检索查询充分、快捷，提升依申请公开办理效率和质量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加强舆情监测和回应，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对新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政策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和热点事件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进行专项舆情监测，定期分析会商，遇有舆情及时启动响应。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（五）平台建设情况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针对社会关切和工作调整，2025年优化微调市水务局网站栏目内容57次，其中汛期临时增加的密云水库、官厅水库水位及下泄流量播报受到市民好评。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继续做好“我为政府网站找错”平台网民留言的回复和“我要写信”“我要咨询”等政民互动栏目，积极转载党中央、国务院重大决策部署等权威消息，发挥网站政府窗口和政民沟通渠道作用。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（六）政府信息公开教育培训情况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2025年，市水务局派负责同志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认真参加市政府组织的政府信息公开教育培训，结合具体业务和考核工作在局内开展政府信息公开工作宣传，提升全局政府信息公开能力和水平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仿宋_GB2312"/>
          <w:szCs w:val="28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宋体"/>
          <w:kern w:val="0"/>
          <w:sz w:val="32"/>
          <w:szCs w:val="32"/>
        </w:rPr>
        <w:t>主动公开政府信息情况</w:t>
      </w:r>
    </w:p>
    <w:tbl>
      <w:tblPr>
        <w:tblStyle w:val="5"/>
        <w:tblW w:w="89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0"/>
        <w:gridCol w:w="2175"/>
        <w:gridCol w:w="1887"/>
        <w:gridCol w:w="17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本年制发件数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本年废止件数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规章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规范性文件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val="en-US" w:eastAsia="zh-CN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val="en-US" w:eastAsia="zh-CN"/>
              </w:rPr>
              <w:t>39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val="en-US" w:eastAsia="zh-CN"/>
              </w:rP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信息内容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行政许可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val="en-US" w:eastAsia="zh-CN"/>
              </w:rPr>
              <w:t>3986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信息内容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行政处罚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行政强制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8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5B9BD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17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信息内容</w:t>
            </w:r>
          </w:p>
        </w:tc>
        <w:tc>
          <w:tcPr>
            <w:tcW w:w="5811" w:type="dxa"/>
            <w:gridSpan w:val="3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行政事业性收费</w:t>
            </w:r>
          </w:p>
        </w:tc>
        <w:tc>
          <w:tcPr>
            <w:tcW w:w="5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224654.33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三、收到和处理政府信息公开申请情况</w:t>
      </w:r>
    </w:p>
    <w:tbl>
      <w:tblPr>
        <w:tblStyle w:val="5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9"/>
        <w:gridCol w:w="829"/>
        <w:gridCol w:w="2984"/>
        <w:gridCol w:w="709"/>
        <w:gridCol w:w="709"/>
        <w:gridCol w:w="709"/>
        <w:gridCol w:w="708"/>
        <w:gridCol w:w="709"/>
        <w:gridCol w:w="567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  <w:jc w:val="center"/>
        </w:trPr>
        <w:tc>
          <w:tcPr>
            <w:tcW w:w="4212" w:type="dxa"/>
            <w:gridSpan w:val="3"/>
            <w:vMerge w:val="restart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820" w:type="dxa"/>
            <w:gridSpan w:val="7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" w:hRule="atLeast"/>
          <w:jc w:val="center"/>
        </w:trPr>
        <w:tc>
          <w:tcPr>
            <w:tcW w:w="4212" w:type="dxa"/>
            <w:gridSpan w:val="3"/>
            <w:vMerge w:val="continue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自然人</w:t>
            </w:r>
          </w:p>
        </w:tc>
        <w:tc>
          <w:tcPr>
            <w:tcW w:w="3402" w:type="dxa"/>
            <w:gridSpan w:val="5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法人或其他组织</w:t>
            </w:r>
          </w:p>
        </w:tc>
        <w:tc>
          <w:tcPr>
            <w:tcW w:w="709" w:type="dxa"/>
            <w:vMerge w:val="restart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vMerge w:val="continue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709" w:type="dxa"/>
            <w:vMerge w:val="continue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709" w:type="dxa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商业企业</w:t>
            </w:r>
          </w:p>
        </w:tc>
        <w:tc>
          <w:tcPr>
            <w:tcW w:w="709" w:type="dxa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科研机构</w:t>
            </w:r>
          </w:p>
        </w:tc>
        <w:tc>
          <w:tcPr>
            <w:tcW w:w="708" w:type="dxa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社会公益组织</w:t>
            </w:r>
          </w:p>
        </w:tc>
        <w:tc>
          <w:tcPr>
            <w:tcW w:w="709" w:type="dxa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法律服务机构</w:t>
            </w:r>
          </w:p>
        </w:tc>
        <w:tc>
          <w:tcPr>
            <w:tcW w:w="567" w:type="dxa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其他</w:t>
            </w:r>
          </w:p>
        </w:tc>
        <w:tc>
          <w:tcPr>
            <w:tcW w:w="70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一、本年新收政府信息公开申请数量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二、上年结转政府信息公开申请数量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restart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三、本年度办理结果</w:t>
            </w:r>
          </w:p>
        </w:tc>
        <w:tc>
          <w:tcPr>
            <w:tcW w:w="3813" w:type="dxa"/>
            <w:gridSpan w:val="2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（一）予以公开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3813" w:type="dxa"/>
            <w:gridSpan w:val="2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829" w:type="dxa"/>
            <w:vMerge w:val="restart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（三）不予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公开</w:t>
            </w:r>
          </w:p>
        </w:tc>
        <w:tc>
          <w:tcPr>
            <w:tcW w:w="2984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1.属于国家秘密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829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984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2.其他法律行政法规禁止公开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829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984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3.危及“三安全一稳定”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829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984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4.保护第三方合法权益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829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984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5.属于三类内部事务信息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829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984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6.属于四类过程性信息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829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984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7.属于行政执法案卷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829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984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8.属于行政查询事项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829" w:type="dxa"/>
            <w:vMerge w:val="restart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（四）无法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提供</w:t>
            </w:r>
          </w:p>
        </w:tc>
        <w:tc>
          <w:tcPr>
            <w:tcW w:w="2984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1.本机关不掌握相关政府信息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829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984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2.没有现成信息需要另行制作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829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984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3.补正后申请内容仍不明确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829" w:type="dxa"/>
            <w:vMerge w:val="restart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（五）不予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处理</w:t>
            </w:r>
          </w:p>
        </w:tc>
        <w:tc>
          <w:tcPr>
            <w:tcW w:w="2984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1.信访举报投诉类申请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829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984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2.重复申请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829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984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3.要求提供公开出版物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829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984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4.无正当理由大量反复申请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829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984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5.要求行政机关确认或重新出具已获取信息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829" w:type="dxa"/>
            <w:vMerge w:val="restart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（六）其他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处理</w:t>
            </w:r>
          </w:p>
        </w:tc>
        <w:tc>
          <w:tcPr>
            <w:tcW w:w="2984" w:type="dxa"/>
            <w:shd w:val="clear" w:color="auto" w:fill="DEEAF6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1.申请人无正当理由逾期不补正、行政机关不再处理其政府信息公开申请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829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984" w:type="dxa"/>
            <w:shd w:val="clear" w:color="auto" w:fill="DEEAF6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829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984" w:type="dxa"/>
            <w:shd w:val="clear" w:color="auto" w:fill="DEEAF6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3.其他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3813" w:type="dxa"/>
            <w:gridSpan w:val="2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（七）总计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4212" w:type="dxa"/>
            <w:gridSpan w:val="3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四、结转下年度继续办理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</w:tr>
    </w:tbl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四、政府信息公开行政复议、行政诉讼情况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5"/>
        <w:gridCol w:w="605"/>
        <w:gridCol w:w="605"/>
        <w:gridCol w:w="605"/>
        <w:gridCol w:w="609"/>
        <w:gridCol w:w="605"/>
        <w:gridCol w:w="603"/>
        <w:gridCol w:w="603"/>
        <w:gridCol w:w="603"/>
        <w:gridCol w:w="603"/>
        <w:gridCol w:w="604"/>
        <w:gridCol w:w="604"/>
        <w:gridCol w:w="604"/>
        <w:gridCol w:w="604"/>
        <w:gridCol w:w="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1672" w:type="pct"/>
            <w:gridSpan w:val="5"/>
            <w:tcBorders>
              <w:bottom w:val="single" w:color="auto" w:sz="4" w:space="0"/>
            </w:tcBorders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行政复议</w:t>
            </w:r>
          </w:p>
        </w:tc>
        <w:tc>
          <w:tcPr>
            <w:tcW w:w="3328" w:type="pct"/>
            <w:gridSpan w:val="10"/>
            <w:tcBorders>
              <w:bottom w:val="single" w:color="auto" w:sz="4" w:space="0"/>
            </w:tcBorders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34" w:type="pct"/>
            <w:vMerge w:val="restart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结果维持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结果纠正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其他结果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尚未审结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总计</w:t>
            </w:r>
          </w:p>
        </w:tc>
        <w:tc>
          <w:tcPr>
            <w:tcW w:w="1665" w:type="pct"/>
            <w:gridSpan w:val="5"/>
            <w:tcBorders>
              <w:top w:val="single" w:color="auto" w:sz="4" w:space="0"/>
            </w:tcBorders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未经复议直接起诉</w:t>
            </w:r>
          </w:p>
        </w:tc>
        <w:tc>
          <w:tcPr>
            <w:tcW w:w="1663" w:type="pct"/>
            <w:gridSpan w:val="5"/>
            <w:tcBorders>
              <w:top w:val="single" w:color="auto" w:sz="4" w:space="0"/>
            </w:tcBorders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" w:type="pct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334" w:type="pct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334" w:type="pct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334" w:type="pct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334" w:type="pct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334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结果维持</w:t>
            </w:r>
          </w:p>
        </w:tc>
        <w:tc>
          <w:tcPr>
            <w:tcW w:w="333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结果纠正</w:t>
            </w:r>
          </w:p>
        </w:tc>
        <w:tc>
          <w:tcPr>
            <w:tcW w:w="333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其他结果</w:t>
            </w:r>
          </w:p>
        </w:tc>
        <w:tc>
          <w:tcPr>
            <w:tcW w:w="333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尚未审结</w:t>
            </w:r>
          </w:p>
        </w:tc>
        <w:tc>
          <w:tcPr>
            <w:tcW w:w="333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总计</w:t>
            </w:r>
          </w:p>
        </w:tc>
        <w:tc>
          <w:tcPr>
            <w:tcW w:w="333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结果维持</w:t>
            </w:r>
          </w:p>
        </w:tc>
        <w:tc>
          <w:tcPr>
            <w:tcW w:w="333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结果纠正</w:t>
            </w:r>
          </w:p>
        </w:tc>
        <w:tc>
          <w:tcPr>
            <w:tcW w:w="333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其他结果</w:t>
            </w:r>
          </w:p>
        </w:tc>
        <w:tc>
          <w:tcPr>
            <w:tcW w:w="333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尚未审结</w:t>
            </w:r>
          </w:p>
        </w:tc>
        <w:tc>
          <w:tcPr>
            <w:tcW w:w="332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334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334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0</w:t>
            </w:r>
          </w:p>
        </w:tc>
        <w:tc>
          <w:tcPr>
            <w:tcW w:w="334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0</w:t>
            </w:r>
          </w:p>
        </w:tc>
        <w:tc>
          <w:tcPr>
            <w:tcW w:w="334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0</w:t>
            </w:r>
          </w:p>
        </w:tc>
        <w:tc>
          <w:tcPr>
            <w:tcW w:w="334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334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0</w:t>
            </w:r>
          </w:p>
        </w:tc>
        <w:tc>
          <w:tcPr>
            <w:tcW w:w="333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0</w:t>
            </w:r>
          </w:p>
        </w:tc>
        <w:tc>
          <w:tcPr>
            <w:tcW w:w="333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0</w:t>
            </w:r>
          </w:p>
        </w:tc>
        <w:tc>
          <w:tcPr>
            <w:tcW w:w="333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0</w:t>
            </w:r>
          </w:p>
        </w:tc>
        <w:tc>
          <w:tcPr>
            <w:tcW w:w="333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0</w:t>
            </w:r>
          </w:p>
        </w:tc>
        <w:tc>
          <w:tcPr>
            <w:tcW w:w="333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333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0</w:t>
            </w:r>
          </w:p>
        </w:tc>
        <w:tc>
          <w:tcPr>
            <w:tcW w:w="333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0</w:t>
            </w:r>
          </w:p>
        </w:tc>
        <w:tc>
          <w:tcPr>
            <w:tcW w:w="333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0</w:t>
            </w:r>
          </w:p>
        </w:tc>
        <w:tc>
          <w:tcPr>
            <w:tcW w:w="332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存在的主要问题是规范性文件更新后，市水务局网站与市政府网站政府公报栏目有不同步情况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。已与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市政府网站建立协同机制，保障文件同步更新。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ascii="黑体" w:hAnsi="黑体" w:eastAsia="黑体" w:cs="宋体"/>
          <w:spacing w:val="8"/>
          <w:kern w:val="0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2025年市水务局无收取信息处理费的情况。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如需了解更多政府信息，请登录查询北京市水务局门户网站（https://swj.beijing.gov.cn）。</w:t>
      </w:r>
    </w:p>
    <w:p>
      <w:pPr>
        <w:numPr>
          <w:ilvl w:val="0"/>
          <w:numId w:val="0"/>
        </w:numPr>
        <w:spacing w:line="560" w:lineRule="exact"/>
        <w:ind w:firstLine="523"/>
        <w:jc w:val="left"/>
        <w:outlineLvl w:val="0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F452A6"/>
    <w:multiLevelType w:val="singleLevel"/>
    <w:tmpl w:val="EDF452A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FBC89"/>
    <w:rsid w:val="1DFF264D"/>
    <w:rsid w:val="1FFC6AFB"/>
    <w:rsid w:val="27BE4FE5"/>
    <w:rsid w:val="3317415D"/>
    <w:rsid w:val="36ECE1C6"/>
    <w:rsid w:val="3AFCF035"/>
    <w:rsid w:val="3EAB0813"/>
    <w:rsid w:val="3F7933E8"/>
    <w:rsid w:val="5EBF3F06"/>
    <w:rsid w:val="63FF04B6"/>
    <w:rsid w:val="664D52E2"/>
    <w:rsid w:val="67BFF9DE"/>
    <w:rsid w:val="69C693F0"/>
    <w:rsid w:val="6A36B366"/>
    <w:rsid w:val="6FE7352B"/>
    <w:rsid w:val="6FFF07D1"/>
    <w:rsid w:val="6FFFFECE"/>
    <w:rsid w:val="7397B029"/>
    <w:rsid w:val="76F51A57"/>
    <w:rsid w:val="7766C5F7"/>
    <w:rsid w:val="77D53FBE"/>
    <w:rsid w:val="797B1553"/>
    <w:rsid w:val="79FABF45"/>
    <w:rsid w:val="7B725C8A"/>
    <w:rsid w:val="7BBD0758"/>
    <w:rsid w:val="7D0E733D"/>
    <w:rsid w:val="7DDBDD6B"/>
    <w:rsid w:val="7DEFF10C"/>
    <w:rsid w:val="7DFF8893"/>
    <w:rsid w:val="7E37CA15"/>
    <w:rsid w:val="7E3EEDA1"/>
    <w:rsid w:val="7E4F9730"/>
    <w:rsid w:val="7EF353B9"/>
    <w:rsid w:val="7F7F5028"/>
    <w:rsid w:val="7F972AD0"/>
    <w:rsid w:val="7FBD8A89"/>
    <w:rsid w:val="7FFF72E4"/>
    <w:rsid w:val="8EABC6A8"/>
    <w:rsid w:val="99FE0157"/>
    <w:rsid w:val="B73D1BB9"/>
    <w:rsid w:val="BDF9F7D9"/>
    <w:rsid w:val="BF7E82AB"/>
    <w:rsid w:val="BF939E5D"/>
    <w:rsid w:val="BFCBEAA7"/>
    <w:rsid w:val="BFF703A7"/>
    <w:rsid w:val="CB7B29B4"/>
    <w:rsid w:val="CDBC17E1"/>
    <w:rsid w:val="D51D2DE0"/>
    <w:rsid w:val="D74F4B79"/>
    <w:rsid w:val="DB5E2606"/>
    <w:rsid w:val="DCF5CA2A"/>
    <w:rsid w:val="DD555372"/>
    <w:rsid w:val="DDFF8182"/>
    <w:rsid w:val="DF1F5702"/>
    <w:rsid w:val="DFDFC87C"/>
    <w:rsid w:val="DFEE1178"/>
    <w:rsid w:val="DFEF7C91"/>
    <w:rsid w:val="E5E80A85"/>
    <w:rsid w:val="EA4D397D"/>
    <w:rsid w:val="EBDF9D9A"/>
    <w:rsid w:val="EFA3D909"/>
    <w:rsid w:val="EFD76265"/>
    <w:rsid w:val="F3FF2454"/>
    <w:rsid w:val="F75FC074"/>
    <w:rsid w:val="FB5FD151"/>
    <w:rsid w:val="FB9F20B1"/>
    <w:rsid w:val="FBD7A2E7"/>
    <w:rsid w:val="FE475767"/>
    <w:rsid w:val="FEE7A531"/>
    <w:rsid w:val="FEFED185"/>
    <w:rsid w:val="FF6D29BA"/>
    <w:rsid w:val="FF7FDFD3"/>
    <w:rsid w:val="FFCEBDD6"/>
    <w:rsid w:val="FFDDE0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2014-11-04T12:08:00Z</dcterms:created>
  <dc:creator>Administrator</dc:creator>
  <cp:lastModifiedBy>shuiwuju</cp:lastModifiedBy>
  <dcterms:modified xsi:type="dcterms:W3CDTF">2026-01-09T09:46:26Z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23B2CDDD5D3FD0231A195F692977A458_42</vt:lpwstr>
  </property>
</Properties>
</file>