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北京市水务局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市水务局以保障首都水安全为核心，统筹水资源管理、水环境治理、水生态修复和水灾害防治，深入落实全面从严治党责任，不断提升首都治水效能。依据“三定”职责，持续推进政务公开全链条、规范化、科学化，不断提高主动公开和依申请公开工作质量与实效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（一）加强组织领导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，建立由主管副局长领导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局办公室牵头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智慧水务院支撑，局属各单位、机关各处室共同参与的政务公开工作体系，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不断完善政务公开保障机制，严格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落实各项工作。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（二）主动公开政府信息情况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2024年，主动公开政府信息3825条，其中，工作动态类信息2807条,财政类信息961条,人事类信息57条。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积极邀请社会媒体、特约人员、市民代表等参加水务系统工作会议，及时在网站对拟出台的规范性文件公开征集民意。全年共发布规范性文件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件，均按要求公开并报司法局备案。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（三）依申请公开办理情况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年，严格规范依申请公开办理内容和流程，同时积极发挥政民沟通渠道作用，宣传相关政策和水务知识。全年收到政府信息公开申请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件，结转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2023年收到申请1件，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已依法依规予以答复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60件，另有1件转入2025年办理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（四）政府信息管理情况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狠抓重点信息公开，结合年度任务重点公开水文化宣传、节水知识普及、城乡供水提升、道路积水点排查治理、滨水步道建设等水惠民生专题和水务折子工程、水利工程灾后恢复、供水企业等重要水务信息。加强政策和信息审核审查，完善公开流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同步做好政策解读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和政策汇聚工作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方便社会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参与并了解水务政策。加强舆情监测和回应，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和热点事件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进行专项舆情监测，定期分析会商，遇有舆情及时启动响应。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（五）平台建设情况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巩固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年网站改版和清理整合后的政务新媒体“水润京华”成果，以向行业和社会提供“简约、聚焦、灵活、便民”的政务水务信息为宗旨，结合机构改革和办公地点调整对网站微调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2次，结合政策公开要求，优化政策栏目设置1次。同时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继续做好“我为政府网站找错”平台网民留言的回复和“我要写信”“我要咨询”等政民互动栏目，积极转载党中央、国务院重大决策部署等权威消息，发挥网站政府窗口和政民沟通渠道作用。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（六）政府信息公开教育培训情况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2024年，市水务局派负责同志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认真参加市政府组织的政府信息公开教育培训，并将政府信息公开纳入局处级干部依法行政培训内容，系统提升全局政府信息公开能力和水平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kern w:val="0"/>
          <w:sz w:val="32"/>
          <w:szCs w:val="32"/>
        </w:rPr>
        <w:t>主动公开政府信息情况</w:t>
      </w:r>
    </w:p>
    <w:tbl>
      <w:tblPr>
        <w:tblStyle w:val="5"/>
        <w:tblW w:w="89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2175"/>
        <w:gridCol w:w="1887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本年制发件数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本年废止件数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信息内容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行政许可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3777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信息内容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行政处罚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行政强制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17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信息内容</w:t>
            </w:r>
          </w:p>
        </w:tc>
        <w:tc>
          <w:tcPr>
            <w:tcW w:w="5811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行政事业性收费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207386.72984</w:t>
            </w:r>
          </w:p>
        </w:tc>
      </w:tr>
    </w:tbl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三、收到和处理政府信息公开申请情况</w:t>
      </w:r>
    </w:p>
    <w:tbl>
      <w:tblPr>
        <w:tblStyle w:val="5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29"/>
        <w:gridCol w:w="2984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（三）不予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公开</w:t>
            </w: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（四）无法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提供</w:t>
            </w: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（五）不予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处理</w:t>
            </w: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（六）其他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处理</w:t>
            </w:r>
          </w:p>
        </w:tc>
        <w:tc>
          <w:tcPr>
            <w:tcW w:w="2984" w:type="dxa"/>
            <w:shd w:val="clear" w:color="auto" w:fill="DEEAF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984" w:type="dxa"/>
            <w:shd w:val="clear" w:color="auto" w:fill="DEEAF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3.其他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四、政府信息公开行政复议、行政诉讼情况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605"/>
        <w:gridCol w:w="605"/>
        <w:gridCol w:w="605"/>
        <w:gridCol w:w="609"/>
        <w:gridCol w:w="605"/>
        <w:gridCol w:w="603"/>
        <w:gridCol w:w="603"/>
        <w:gridCol w:w="603"/>
        <w:gridCol w:w="603"/>
        <w:gridCol w:w="604"/>
        <w:gridCol w:w="604"/>
        <w:gridCol w:w="604"/>
        <w:gridCol w:w="604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672" w:type="pct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行政复议</w:t>
            </w:r>
          </w:p>
        </w:tc>
        <w:tc>
          <w:tcPr>
            <w:tcW w:w="3328" w:type="pct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34" w:type="pct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结果维持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结果纠正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其他结果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尚未审结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未经复议直接起诉</w:t>
            </w:r>
          </w:p>
        </w:tc>
        <w:tc>
          <w:tcPr>
            <w:tcW w:w="1663" w:type="pct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34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34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34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34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33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结果维持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结果纠正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其他结果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尚未审结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总计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结果维持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结果纠正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其他结果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尚未审结</w:t>
            </w:r>
          </w:p>
        </w:tc>
        <w:tc>
          <w:tcPr>
            <w:tcW w:w="33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33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33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33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0</w:t>
            </w:r>
          </w:p>
        </w:tc>
        <w:tc>
          <w:tcPr>
            <w:tcW w:w="332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五、存在的主要问题及改进情况</w:t>
      </w:r>
    </w:p>
    <w:p>
      <w:pPr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存在的主要问题是网站有多栏目发布政策性文件，但未进行同源处理情况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。已通过优化网站政策栏目进行改进，所有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政策性文件均在政策文件栏目发布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0"/>
        <w:rPr>
          <w:rFonts w:ascii="黑体" w:hAnsi="黑体" w:eastAsia="黑体" w:cs="宋体"/>
          <w:spacing w:val="8"/>
          <w:kern w:val="0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六、其他需要报告的事项</w:t>
      </w:r>
    </w:p>
    <w:p>
      <w:pPr>
        <w:numPr>
          <w:ilvl w:val="0"/>
          <w:numId w:val="0"/>
        </w:numPr>
        <w:spacing w:line="560" w:lineRule="exact"/>
        <w:ind w:firstLine="523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2024年市水务局无收取信息处理费的情况。</w:t>
      </w:r>
    </w:p>
    <w:p>
      <w:pPr>
        <w:numPr>
          <w:ilvl w:val="0"/>
          <w:numId w:val="0"/>
        </w:numPr>
        <w:spacing w:line="560" w:lineRule="exact"/>
        <w:ind w:firstLine="523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如需了解更多政府信息，请登录查询北京市水务局门户网站（https://swj.beijing.gov.cn）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523"/>
        <w:jc w:val="left"/>
        <w:outlineLvl w:val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452A6"/>
    <w:multiLevelType w:val="singleLevel"/>
    <w:tmpl w:val="EDF452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F264D"/>
    <w:rsid w:val="27BE4FE5"/>
    <w:rsid w:val="3317415D"/>
    <w:rsid w:val="36ECE1C6"/>
    <w:rsid w:val="3AFCF035"/>
    <w:rsid w:val="3EAB0813"/>
    <w:rsid w:val="5EBF3F06"/>
    <w:rsid w:val="63FF04B6"/>
    <w:rsid w:val="67BFF9DE"/>
    <w:rsid w:val="6FFF07D1"/>
    <w:rsid w:val="6FFFFECE"/>
    <w:rsid w:val="76F51A57"/>
    <w:rsid w:val="79FABF45"/>
    <w:rsid w:val="7B725C8A"/>
    <w:rsid w:val="7BBD0758"/>
    <w:rsid w:val="7D0E733D"/>
    <w:rsid w:val="7DDBDD6B"/>
    <w:rsid w:val="7DEFF10C"/>
    <w:rsid w:val="7E37CA15"/>
    <w:rsid w:val="7E4F9730"/>
    <w:rsid w:val="7EF353B9"/>
    <w:rsid w:val="7F7F5028"/>
    <w:rsid w:val="7FBD8A89"/>
    <w:rsid w:val="7FFF72E4"/>
    <w:rsid w:val="8EABC6A8"/>
    <w:rsid w:val="99FE0157"/>
    <w:rsid w:val="B73D1BB9"/>
    <w:rsid w:val="BF7E82AB"/>
    <w:rsid w:val="BFCBEAA7"/>
    <w:rsid w:val="BFF703A7"/>
    <w:rsid w:val="DCF5CA2A"/>
    <w:rsid w:val="DD555372"/>
    <w:rsid w:val="DDFF8182"/>
    <w:rsid w:val="DF1F5702"/>
    <w:rsid w:val="DFDFC87C"/>
    <w:rsid w:val="DFEE1178"/>
    <w:rsid w:val="DFEF7C91"/>
    <w:rsid w:val="E5E80A85"/>
    <w:rsid w:val="EFA3D909"/>
    <w:rsid w:val="EFD76265"/>
    <w:rsid w:val="F3FF2454"/>
    <w:rsid w:val="F75FC074"/>
    <w:rsid w:val="FB5FD151"/>
    <w:rsid w:val="FB9F20B1"/>
    <w:rsid w:val="FBD7A2E7"/>
    <w:rsid w:val="FEFED185"/>
    <w:rsid w:val="FF7FDFD3"/>
    <w:rsid w:val="FFDDE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shuiwuju</cp:lastModifiedBy>
  <dcterms:modified xsi:type="dcterms:W3CDTF">2025-01-10T09:35:31Z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