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26A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338B3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C5BB2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1FA0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1632F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2F81C0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F335D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5743224">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236BAA7B">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9D402B1">
      <w:pPr>
        <w:pStyle w:val="199"/>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1"/>
            </w:textInput>
          </w:ffData>
        </w:fldChar>
      </w:r>
      <w:r>
        <w:instrText xml:space="preserve"> </w:instrText>
      </w:r>
      <w:bookmarkStart w:id="6" w:name="NSTD_CODE_F"/>
      <w:r>
        <w:instrText xml:space="preserve">FORMTEXT </w:instrText>
      </w:r>
      <w:r>
        <w:fldChar w:fldCharType="separate"/>
      </w:r>
      <w:r>
        <w:t>XXXX.1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0731785">
      <w:pPr>
        <w:pStyle w:val="20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F824F7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4D276A">
      <w:pPr>
        <w:pStyle w:val="54"/>
        <w:framePr w:w="9639" w:h="6976" w:hRule="exact" w:hSpace="0" w:vSpace="0" w:wrap="around" w:hAnchor="page" w:y="6408"/>
        <w:jc w:val="center"/>
        <w:rPr>
          <w:rFonts w:ascii="黑体" w:hAnsi="黑体" w:eastAsia="黑体"/>
          <w:b w:val="0"/>
          <w:bCs w:val="0"/>
          <w:w w:val="100"/>
        </w:rPr>
      </w:pPr>
    </w:p>
    <w:p w14:paraId="52C6D7F2">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w:t>
      </w:r>
      <w:r>
        <w:t>与编码</w:t>
      </w:r>
      <w:r>
        <w:rPr>
          <w:rFonts w:hint="eastAsia"/>
        </w:rPr>
        <w:t xml:space="preserve"> 第1部分</w:t>
      </w:r>
      <w:r>
        <w:t>：总则</w:t>
      </w:r>
      <w:r>
        <w:fldChar w:fldCharType="end"/>
      </w:r>
      <w:bookmarkEnd w:id="9"/>
    </w:p>
    <w:p w14:paraId="47DF1D22">
      <w:pPr>
        <w:framePr w:w="9639" w:h="6974" w:hRule="exact" w:wrap="around" w:vAnchor="page" w:hAnchor="page" w:x="1419" w:y="6408" w:anchorLock="1"/>
        <w:ind w:left="-1418"/>
      </w:pPr>
    </w:p>
    <w:p w14:paraId="1D0C1C2C">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 Part 1</w:t>
      </w:r>
      <w:r>
        <w:rPr>
          <w:rFonts w:hint="eastAsia" w:ascii="黑体" w:hAnsi="黑体" w:eastAsia="黑体"/>
          <w:szCs w:val="28"/>
        </w:rPr>
        <w:t>—</w:t>
      </w:r>
      <w:r>
        <w:rPr>
          <w:rFonts w:ascii="黑体" w:hAnsi="黑体" w:eastAsia="黑体"/>
          <w:szCs w:val="28"/>
        </w:rPr>
        <w:t>General rules</w:t>
      </w:r>
      <w:r>
        <w:rPr>
          <w:rFonts w:ascii="黑体" w:hAnsi="黑体" w:eastAsia="黑体"/>
          <w:szCs w:val="28"/>
        </w:rPr>
        <w:fldChar w:fldCharType="end"/>
      </w:r>
      <w:bookmarkEnd w:id="10"/>
    </w:p>
    <w:p w14:paraId="0F9B93D9">
      <w:pPr>
        <w:framePr w:w="9639" w:h="6974" w:hRule="exact" w:wrap="around" w:vAnchor="page" w:hAnchor="page" w:x="1419" w:y="6408" w:anchorLock="1"/>
        <w:spacing w:line="760" w:lineRule="exact"/>
        <w:ind w:left="-1418"/>
      </w:pPr>
    </w:p>
    <w:p w14:paraId="0002F91B">
      <w:pPr>
        <w:pStyle w:val="129"/>
        <w:framePr w:w="9639" w:h="6974" w:hRule="exact" w:wrap="around" w:vAnchor="page" w:hAnchor="page" w:x="1419" w:y="6408" w:anchorLock="1"/>
        <w:textAlignment w:val="bottom"/>
        <w:rPr>
          <w:rFonts w:eastAsia="黑体"/>
          <w:szCs w:val="28"/>
        </w:rPr>
      </w:pPr>
    </w:p>
    <w:p w14:paraId="32488B23">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929F84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B1FF56">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751C42C">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868B5B6">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104A13F">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207D3D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79" w:name="_GoBack"/>
      <w:bookmarkEnd w:id="79"/>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09091D">
      <w:pPr>
        <w:pStyle w:val="95"/>
        <w:spacing w:after="468"/>
      </w:pPr>
      <w:bookmarkStart w:id="21" w:name="BookMark1"/>
      <w:r>
        <w:rPr>
          <w:rFonts w:hint="eastAsia"/>
          <w:spacing w:val="320"/>
        </w:rPr>
        <w:t>目</w:t>
      </w:r>
      <w:r>
        <w:rPr>
          <w:rFonts w:hint="eastAsia"/>
        </w:rPr>
        <w:t>次</w:t>
      </w:r>
    </w:p>
    <w:p w14:paraId="3AC17261">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"_Toc197508778" </w:instrText>
      </w:r>
      <w:r>
        <w:fldChar w:fldCharType="separate"/>
      </w:r>
      <w:r>
        <w:rPr>
          <w:rStyle w:val="35"/>
          <w:spacing w:val="320"/>
        </w:rPr>
        <w:t>前</w:t>
      </w:r>
      <w:r>
        <w:rPr>
          <w:rStyle w:val="35"/>
        </w:rPr>
        <w:t>言</w:t>
      </w:r>
      <w:r>
        <w:tab/>
      </w:r>
      <w:r>
        <w:fldChar w:fldCharType="begin"/>
      </w:r>
      <w:r>
        <w:instrText xml:space="preserve"> PAGEREF _Toc197508778 \h </w:instrText>
      </w:r>
      <w:r>
        <w:fldChar w:fldCharType="separate"/>
      </w:r>
      <w:r>
        <w:t>II</w:t>
      </w:r>
      <w:r>
        <w:fldChar w:fldCharType="end"/>
      </w:r>
      <w:r>
        <w:fldChar w:fldCharType="end"/>
      </w:r>
    </w:p>
    <w:p w14:paraId="6AB39C56">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"_Toc197508779" </w:instrText>
      </w:r>
      <w:r>
        <w:fldChar w:fldCharType="separate"/>
      </w:r>
      <w:r>
        <w:rPr>
          <w:rStyle w:val="35"/>
          <w:spacing w:val="320"/>
        </w:rPr>
        <w:t>引</w:t>
      </w:r>
      <w:r>
        <w:rPr>
          <w:rStyle w:val="35"/>
        </w:rPr>
        <w:t>言</w:t>
      </w:r>
      <w:r>
        <w:tab/>
      </w:r>
      <w:r>
        <w:fldChar w:fldCharType="begin"/>
      </w:r>
      <w:r>
        <w:instrText xml:space="preserve"> PAGEREF _Toc197508779 \h </w:instrText>
      </w:r>
      <w:r>
        <w:fldChar w:fldCharType="separate"/>
      </w:r>
      <w:r>
        <w:t>III</w:t>
      </w:r>
      <w:r>
        <w:fldChar w:fldCharType="end"/>
      </w:r>
      <w:r>
        <w:fldChar w:fldCharType="end"/>
      </w:r>
    </w:p>
    <w:p w14:paraId="1B1711FE">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"_Toc197508780" </w:instrText>
      </w:r>
      <w:r>
        <w:fldChar w:fldCharType="separate"/>
      </w:r>
      <w:r>
        <w:rPr>
          <w:rStyle w:val="35"/>
        </w:rPr>
        <w:t>1 范围</w:t>
      </w:r>
      <w:r>
        <w:tab/>
      </w:r>
      <w:r>
        <w:fldChar w:fldCharType="begin"/>
      </w:r>
      <w:r>
        <w:instrText xml:space="preserve"> PAGEREF _Toc197508780 \h </w:instrText>
      </w:r>
      <w:r>
        <w:fldChar w:fldCharType="separate"/>
      </w:r>
      <w:r>
        <w:t>1</w:t>
      </w:r>
      <w:r>
        <w:fldChar w:fldCharType="end"/>
      </w:r>
      <w:r>
        <w:fldChar w:fldCharType="end"/>
      </w:r>
    </w:p>
    <w:p w14:paraId="5694D75E">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"_Toc197508781" </w:instrText>
      </w:r>
      <w:r>
        <w:fldChar w:fldCharType="separate"/>
      </w:r>
      <w:r>
        <w:rPr>
          <w:rStyle w:val="35"/>
        </w:rPr>
        <w:t>2 规范性引用文件</w:t>
      </w:r>
      <w:r>
        <w:tab/>
      </w:r>
      <w:r>
        <w:fldChar w:fldCharType="begin"/>
      </w:r>
      <w:r>
        <w:instrText xml:space="preserve"> PAGEREF _Toc197508781 \h </w:instrText>
      </w:r>
      <w:r>
        <w:fldChar w:fldCharType="separate"/>
      </w:r>
      <w:r>
        <w:t>1</w:t>
      </w:r>
      <w:r>
        <w:fldChar w:fldCharType="end"/>
      </w:r>
      <w:r>
        <w:fldChar w:fldCharType="end"/>
      </w:r>
    </w:p>
    <w:p w14:paraId="2C7A612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"_Toc197508782" </w:instrText>
      </w:r>
      <w:r>
        <w:fldChar w:fldCharType="separate"/>
      </w:r>
      <w:r>
        <w:rPr>
          <w:rStyle w:val="35"/>
        </w:rPr>
        <w:t>3 术语和定义</w:t>
      </w:r>
      <w:r>
        <w:tab/>
      </w:r>
      <w:r>
        <w:fldChar w:fldCharType="begin"/>
      </w:r>
      <w:r>
        <w:instrText xml:space="preserve"> PAGEREF _Toc197508782 \h </w:instrText>
      </w:r>
      <w:r>
        <w:fldChar w:fldCharType="separate"/>
      </w:r>
      <w:r>
        <w:t>1</w:t>
      </w:r>
      <w:r>
        <w:fldChar w:fldCharType="end"/>
      </w:r>
      <w:r>
        <w:fldChar w:fldCharType="end"/>
      </w:r>
    </w:p>
    <w:p w14:paraId="2430D882">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"_Toc197508783" </w:instrText>
      </w:r>
      <w:r>
        <w:fldChar w:fldCharType="separate"/>
      </w:r>
      <w:r>
        <w:rPr>
          <w:rStyle w:val="35"/>
        </w:rPr>
        <w:t>4 编码原则</w:t>
      </w:r>
      <w:r>
        <w:tab/>
      </w:r>
      <w:r>
        <w:fldChar w:fldCharType="begin"/>
      </w:r>
      <w:r>
        <w:instrText xml:space="preserve"> PAGEREF _Toc197508783 \h </w:instrText>
      </w:r>
      <w:r>
        <w:fldChar w:fldCharType="separate"/>
      </w:r>
      <w:r>
        <w:t>2</w:t>
      </w:r>
      <w:r>
        <w:fldChar w:fldCharType="end"/>
      </w:r>
      <w:r>
        <w:fldChar w:fldCharType="end"/>
      </w:r>
    </w:p>
    <w:p w14:paraId="2A4F66BD">
      <w:pPr>
        <w:pStyle w:val="25"/>
        <w:rPr>
          <w:rFonts w:asciiTheme="minorHAnsi" w:hAnsiTheme="minorHAnsi" w:eastAsiaTheme="minorEastAsia" w:cstheme="minorBidi"/>
          <w:szCs w:val="22"/>
        </w:rPr>
      </w:pPr>
      <w:r>
        <w:fldChar w:fldCharType="begin"/>
      </w:r>
      <w:r>
        <w:instrText xml:space="preserve"> HYPERLINK \l "_Toc197508784" </w:instrText>
      </w:r>
      <w:r>
        <w:fldChar w:fldCharType="separate"/>
      </w:r>
      <w:r>
        <w:rPr>
          <w:rStyle w:val="35"/>
          <w14:scene3d w14:prst="orthographicFront">
            <w14:lightRig w14:rig="threePt" w14:dir="t">
              <w14:rot w14:lat="0" w14:lon="0" w14:rev="0"/>
            </w14:lightRig>
          </w14:scene3d>
        </w:rPr>
        <w:t>4.1</w:t>
      </w:r>
      <w:r>
        <w:rPr>
          <w:rStyle w:val="35"/>
        </w:rPr>
        <w:t xml:space="preserve"> 科学性</w:t>
      </w:r>
      <w:r>
        <w:tab/>
      </w:r>
      <w:r>
        <w:fldChar w:fldCharType="begin"/>
      </w:r>
      <w:r>
        <w:instrText xml:space="preserve"> PAGEREF _Toc197508784 \h </w:instrText>
      </w:r>
      <w:r>
        <w:fldChar w:fldCharType="separate"/>
      </w:r>
      <w:r>
        <w:t>2</w:t>
      </w:r>
      <w:r>
        <w:fldChar w:fldCharType="end"/>
      </w:r>
      <w:r>
        <w:fldChar w:fldCharType="end"/>
      </w:r>
    </w:p>
    <w:p w14:paraId="149D459B">
      <w:pPr>
        <w:pStyle w:val="25"/>
        <w:rPr>
          <w:rFonts w:asciiTheme="minorHAnsi" w:hAnsiTheme="minorHAnsi" w:eastAsiaTheme="minorEastAsia" w:cstheme="minorBidi"/>
          <w:szCs w:val="22"/>
        </w:rPr>
      </w:pPr>
      <w:r>
        <w:fldChar w:fldCharType="begin"/>
      </w:r>
      <w:r>
        <w:instrText xml:space="preserve"> HYPERLINK \l "_Toc197508785" </w:instrText>
      </w:r>
      <w:r>
        <w:fldChar w:fldCharType="separate"/>
      </w:r>
      <w:r>
        <w:rPr>
          <w:rStyle w:val="35"/>
          <w14:scene3d w14:prst="orthographicFront">
            <w14:lightRig w14:rig="threePt" w14:dir="t">
              <w14:rot w14:lat="0" w14:lon="0" w14:rev="0"/>
            </w14:lightRig>
          </w14:scene3d>
        </w:rPr>
        <w:t>4.2</w:t>
      </w:r>
      <w:r>
        <w:rPr>
          <w:rStyle w:val="35"/>
        </w:rPr>
        <w:t xml:space="preserve"> 唯一性</w:t>
      </w:r>
      <w:r>
        <w:tab/>
      </w:r>
      <w:r>
        <w:fldChar w:fldCharType="begin"/>
      </w:r>
      <w:r>
        <w:instrText xml:space="preserve"> PAGEREF _Toc197508785 \h </w:instrText>
      </w:r>
      <w:r>
        <w:fldChar w:fldCharType="separate"/>
      </w:r>
      <w:r>
        <w:t>2</w:t>
      </w:r>
      <w:r>
        <w:fldChar w:fldCharType="end"/>
      </w:r>
      <w:r>
        <w:fldChar w:fldCharType="end"/>
      </w:r>
    </w:p>
    <w:p w14:paraId="6D71FCA0">
      <w:pPr>
        <w:pStyle w:val="25"/>
        <w:rPr>
          <w:rFonts w:asciiTheme="minorHAnsi" w:hAnsiTheme="minorHAnsi" w:eastAsiaTheme="minorEastAsia" w:cstheme="minorBidi"/>
          <w:szCs w:val="22"/>
        </w:rPr>
      </w:pPr>
      <w:r>
        <w:fldChar w:fldCharType="begin"/>
      </w:r>
      <w:r>
        <w:instrText xml:space="preserve"> HYPERLINK \l "_Toc197508786" </w:instrText>
      </w:r>
      <w:r>
        <w:fldChar w:fldCharType="separate"/>
      </w:r>
      <w:r>
        <w:rPr>
          <w:rStyle w:val="35"/>
          <w14:scene3d w14:prst="orthographicFront">
            <w14:lightRig w14:rig="threePt" w14:dir="t">
              <w14:rot w14:lat="0" w14:lon="0" w14:rev="0"/>
            </w14:lightRig>
          </w14:scene3d>
        </w:rPr>
        <w:t>4.3</w:t>
      </w:r>
      <w:r>
        <w:rPr>
          <w:rStyle w:val="35"/>
        </w:rPr>
        <w:t xml:space="preserve"> 系统性</w:t>
      </w:r>
      <w:r>
        <w:tab/>
      </w:r>
      <w:r>
        <w:fldChar w:fldCharType="begin"/>
      </w:r>
      <w:r>
        <w:instrText xml:space="preserve"> PAGEREF _Toc197508786 \h </w:instrText>
      </w:r>
      <w:r>
        <w:fldChar w:fldCharType="separate"/>
      </w:r>
      <w:r>
        <w:t>2</w:t>
      </w:r>
      <w:r>
        <w:fldChar w:fldCharType="end"/>
      </w:r>
      <w:r>
        <w:fldChar w:fldCharType="end"/>
      </w:r>
    </w:p>
    <w:p w14:paraId="3E1BF88D">
      <w:pPr>
        <w:pStyle w:val="25"/>
        <w:rPr>
          <w:rFonts w:asciiTheme="minorHAnsi" w:hAnsiTheme="minorHAnsi" w:eastAsiaTheme="minorEastAsia" w:cstheme="minorBidi"/>
          <w:szCs w:val="22"/>
        </w:rPr>
      </w:pPr>
      <w:r>
        <w:fldChar w:fldCharType="begin"/>
      </w:r>
      <w:r>
        <w:instrText xml:space="preserve"> HYPERLINK \l "_Toc197508787" </w:instrText>
      </w:r>
      <w:r>
        <w:fldChar w:fldCharType="separate"/>
      </w:r>
      <w:r>
        <w:rPr>
          <w:rStyle w:val="35"/>
          <w14:scene3d w14:prst="orthographicFront">
            <w14:lightRig w14:rig="threePt" w14:dir="t">
              <w14:rot w14:lat="0" w14:lon="0" w14:rev="0"/>
            </w14:lightRig>
          </w14:scene3d>
        </w:rPr>
        <w:t>4.4</w:t>
      </w:r>
      <w:r>
        <w:rPr>
          <w:rStyle w:val="35"/>
        </w:rPr>
        <w:t xml:space="preserve"> 扩展性</w:t>
      </w:r>
      <w:r>
        <w:tab/>
      </w:r>
      <w:r>
        <w:fldChar w:fldCharType="begin"/>
      </w:r>
      <w:r>
        <w:instrText xml:space="preserve"> PAGEREF _Toc197508787 \h </w:instrText>
      </w:r>
      <w:r>
        <w:fldChar w:fldCharType="separate"/>
      </w:r>
      <w:r>
        <w:t>2</w:t>
      </w:r>
      <w:r>
        <w:fldChar w:fldCharType="end"/>
      </w:r>
      <w:r>
        <w:fldChar w:fldCharType="end"/>
      </w:r>
    </w:p>
    <w:p w14:paraId="3D40FB0C">
      <w:pPr>
        <w:pStyle w:val="25"/>
        <w:rPr>
          <w:rFonts w:asciiTheme="minorHAnsi" w:hAnsiTheme="minorHAnsi" w:eastAsiaTheme="minorEastAsia" w:cstheme="minorBidi"/>
          <w:szCs w:val="22"/>
        </w:rPr>
      </w:pPr>
      <w:r>
        <w:fldChar w:fldCharType="begin"/>
      </w:r>
      <w:r>
        <w:instrText xml:space="preserve"> HYPERLINK \l "_Toc197508788" </w:instrText>
      </w:r>
      <w:r>
        <w:fldChar w:fldCharType="separate"/>
      </w:r>
      <w:r>
        <w:rPr>
          <w:rStyle w:val="35"/>
          <w14:scene3d w14:prst="orthographicFront">
            <w14:lightRig w14:rig="threePt" w14:dir="t">
              <w14:rot w14:lat="0" w14:lon="0" w14:rev="0"/>
            </w14:lightRig>
          </w14:scene3d>
        </w:rPr>
        <w:t>4.5</w:t>
      </w:r>
      <w:r>
        <w:rPr>
          <w:rStyle w:val="35"/>
        </w:rPr>
        <w:t xml:space="preserve"> 稳定性</w:t>
      </w:r>
      <w:r>
        <w:tab/>
      </w:r>
      <w:r>
        <w:fldChar w:fldCharType="begin"/>
      </w:r>
      <w:r>
        <w:instrText xml:space="preserve"> PAGEREF _Toc197508788 \h </w:instrText>
      </w:r>
      <w:r>
        <w:fldChar w:fldCharType="separate"/>
      </w:r>
      <w:r>
        <w:t>2</w:t>
      </w:r>
      <w:r>
        <w:fldChar w:fldCharType="end"/>
      </w:r>
      <w:r>
        <w:fldChar w:fldCharType="end"/>
      </w:r>
    </w:p>
    <w:p w14:paraId="7C797A3C">
      <w:pPr>
        <w:pStyle w:val="25"/>
        <w:rPr>
          <w:rFonts w:asciiTheme="minorHAnsi" w:hAnsiTheme="minorHAnsi" w:eastAsiaTheme="minorEastAsia" w:cstheme="minorBidi"/>
          <w:szCs w:val="22"/>
        </w:rPr>
      </w:pPr>
      <w:r>
        <w:fldChar w:fldCharType="begin"/>
      </w:r>
      <w:r>
        <w:instrText xml:space="preserve"> HYPERLINK \l "_Toc197508789" </w:instrText>
      </w:r>
      <w:r>
        <w:fldChar w:fldCharType="separate"/>
      </w:r>
      <w:r>
        <w:rPr>
          <w:rStyle w:val="35"/>
          <w14:scene3d w14:prst="orthographicFront">
            <w14:lightRig w14:rig="threePt" w14:dir="t">
              <w14:rot w14:lat="0" w14:lon="0" w14:rev="0"/>
            </w14:lightRig>
          </w14:scene3d>
        </w:rPr>
        <w:t>4.6</w:t>
      </w:r>
      <w:r>
        <w:rPr>
          <w:rStyle w:val="35"/>
        </w:rPr>
        <w:t xml:space="preserve"> 简约性</w:t>
      </w:r>
      <w:r>
        <w:tab/>
      </w:r>
      <w:r>
        <w:fldChar w:fldCharType="begin"/>
      </w:r>
      <w:r>
        <w:instrText xml:space="preserve"> PAGEREF _Toc197508789 \h </w:instrText>
      </w:r>
      <w:r>
        <w:fldChar w:fldCharType="separate"/>
      </w:r>
      <w:r>
        <w:t>2</w:t>
      </w:r>
      <w:r>
        <w:fldChar w:fldCharType="end"/>
      </w:r>
      <w:r>
        <w:fldChar w:fldCharType="end"/>
      </w:r>
    </w:p>
    <w:p w14:paraId="761CA8BB">
      <w:pPr>
        <w:pStyle w:val="25"/>
        <w:rPr>
          <w:rFonts w:asciiTheme="minorHAnsi" w:hAnsiTheme="minorHAnsi" w:eastAsiaTheme="minorEastAsia" w:cstheme="minorBidi"/>
          <w:szCs w:val="22"/>
        </w:rPr>
      </w:pPr>
      <w:r>
        <w:fldChar w:fldCharType="begin"/>
      </w:r>
      <w:r>
        <w:instrText xml:space="preserve"> HYPERLINK \l "_Toc197508790" </w:instrText>
      </w:r>
      <w:r>
        <w:fldChar w:fldCharType="separate"/>
      </w:r>
      <w:r>
        <w:rPr>
          <w:rStyle w:val="35"/>
          <w14:scene3d w14:prst="orthographicFront">
            <w14:lightRig w14:rig="threePt" w14:dir="t">
              <w14:rot w14:lat="0" w14:lon="0" w14:rev="0"/>
            </w14:lightRig>
          </w14:scene3d>
        </w:rPr>
        <w:t>4.7</w:t>
      </w:r>
      <w:r>
        <w:rPr>
          <w:rStyle w:val="35"/>
        </w:rPr>
        <w:t xml:space="preserve"> 延续性</w:t>
      </w:r>
      <w:r>
        <w:tab/>
      </w:r>
      <w:r>
        <w:fldChar w:fldCharType="begin"/>
      </w:r>
      <w:r>
        <w:instrText xml:space="preserve"> PAGEREF _Toc197508790 \h </w:instrText>
      </w:r>
      <w:r>
        <w:fldChar w:fldCharType="separate"/>
      </w:r>
      <w:r>
        <w:t>2</w:t>
      </w:r>
      <w:r>
        <w:fldChar w:fldCharType="end"/>
      </w:r>
      <w:r>
        <w:fldChar w:fldCharType="end"/>
      </w:r>
    </w:p>
    <w:p w14:paraId="3531C9C0">
      <w:pPr>
        <w:pStyle w:val="25"/>
        <w:rPr>
          <w:rFonts w:asciiTheme="minorHAnsi" w:hAnsiTheme="minorHAnsi" w:eastAsiaTheme="minorEastAsia" w:cstheme="minorBidi"/>
          <w:szCs w:val="22"/>
        </w:rPr>
      </w:pPr>
      <w:r>
        <w:fldChar w:fldCharType="begin"/>
      </w:r>
      <w:r>
        <w:instrText xml:space="preserve"> HYPERLINK \l "_Toc197508791" </w:instrText>
      </w:r>
      <w:r>
        <w:fldChar w:fldCharType="separate"/>
      </w:r>
      <w:r>
        <w:rPr>
          <w:rStyle w:val="35"/>
          <w14:scene3d w14:prst="orthographicFront">
            <w14:lightRig w14:rig="threePt" w14:dir="t">
              <w14:rot w14:lat="0" w14:lon="0" w14:rev="0"/>
            </w14:lightRig>
          </w14:scene3d>
        </w:rPr>
        <w:t>4.8</w:t>
      </w:r>
      <w:r>
        <w:rPr>
          <w:rStyle w:val="35"/>
        </w:rPr>
        <w:t xml:space="preserve"> 时效性</w:t>
      </w:r>
      <w:r>
        <w:tab/>
      </w:r>
      <w:r>
        <w:fldChar w:fldCharType="begin"/>
      </w:r>
      <w:r>
        <w:instrText xml:space="preserve"> PAGEREF _Toc197508791 \h </w:instrText>
      </w:r>
      <w:r>
        <w:fldChar w:fldCharType="separate"/>
      </w:r>
      <w:r>
        <w:t>2</w:t>
      </w:r>
      <w:r>
        <w:fldChar w:fldCharType="end"/>
      </w:r>
      <w:r>
        <w:fldChar w:fldCharType="end"/>
      </w:r>
    </w:p>
    <w:p w14:paraId="6E5F222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"_Toc197508792" </w:instrText>
      </w:r>
      <w:r>
        <w:fldChar w:fldCharType="separate"/>
      </w:r>
      <w:r>
        <w:rPr>
          <w:rStyle w:val="35"/>
        </w:rPr>
        <w:t>5 水务对象分类</w:t>
      </w:r>
      <w:r>
        <w:tab/>
      </w:r>
      <w:r>
        <w:fldChar w:fldCharType="begin"/>
      </w:r>
      <w:r>
        <w:instrText xml:space="preserve"> PAGEREF _Toc197508792 \h </w:instrText>
      </w:r>
      <w:r>
        <w:fldChar w:fldCharType="separate"/>
      </w:r>
      <w:r>
        <w:t>2</w:t>
      </w:r>
      <w:r>
        <w:fldChar w:fldCharType="end"/>
      </w:r>
      <w:r>
        <w:fldChar w:fldCharType="end"/>
      </w:r>
    </w:p>
    <w:p w14:paraId="10C74FA6">
      <w:pPr>
        <w:pStyle w:val="25"/>
        <w:rPr>
          <w:rFonts w:asciiTheme="minorHAnsi" w:hAnsiTheme="minorHAnsi" w:eastAsiaTheme="minorEastAsia" w:cstheme="minorBidi"/>
          <w:szCs w:val="22"/>
        </w:rPr>
      </w:pPr>
      <w:r>
        <w:fldChar w:fldCharType="begin"/>
      </w:r>
      <w:r>
        <w:instrText xml:space="preserve"> HYPERLINK \l "_Toc197508793" </w:instrText>
      </w:r>
      <w:r>
        <w:fldChar w:fldCharType="separate"/>
      </w:r>
      <w:r>
        <w:rPr>
          <w:rStyle w:val="35"/>
          <w14:scene3d w14:prst="orthographicFront">
            <w14:lightRig w14:rig="threePt" w14:dir="t">
              <w14:rot w14:lat="0" w14:lon="0" w14:rev="0"/>
            </w14:lightRig>
          </w14:scene3d>
        </w:rPr>
        <w:t>5.1</w:t>
      </w:r>
      <w:r>
        <w:rPr>
          <w:rStyle w:val="35"/>
        </w:rPr>
        <w:t xml:space="preserve"> 对象分类</w:t>
      </w:r>
      <w:r>
        <w:tab/>
      </w:r>
      <w:r>
        <w:fldChar w:fldCharType="begin"/>
      </w:r>
      <w:r>
        <w:instrText xml:space="preserve"> PAGEREF _Toc197508793 \h </w:instrText>
      </w:r>
      <w:r>
        <w:fldChar w:fldCharType="separate"/>
      </w:r>
      <w:r>
        <w:t>3</w:t>
      </w:r>
      <w:r>
        <w:fldChar w:fldCharType="end"/>
      </w:r>
      <w:r>
        <w:fldChar w:fldCharType="end"/>
      </w:r>
    </w:p>
    <w:p w14:paraId="603D0F5D">
      <w:pPr>
        <w:pStyle w:val="25"/>
        <w:rPr>
          <w:rFonts w:asciiTheme="minorHAnsi" w:hAnsiTheme="minorHAnsi" w:eastAsiaTheme="minorEastAsia" w:cstheme="minorBidi"/>
          <w:szCs w:val="22"/>
        </w:rPr>
      </w:pPr>
      <w:r>
        <w:fldChar w:fldCharType="begin"/>
      </w:r>
      <w:r>
        <w:instrText xml:space="preserve"> HYPERLINK \l "_Toc197508794" </w:instrText>
      </w:r>
      <w:r>
        <w:fldChar w:fldCharType="separate"/>
      </w:r>
      <w:r>
        <w:rPr>
          <w:rStyle w:val="35"/>
          <w14:scene3d w14:prst="orthographicFront">
            <w14:lightRig w14:rig="threePt" w14:dir="t">
              <w14:rot w14:lat="0" w14:lon="0" w14:rev="0"/>
            </w14:lightRig>
          </w14:scene3d>
        </w:rPr>
        <w:t>5.2</w:t>
      </w:r>
      <w:r>
        <w:rPr>
          <w:rStyle w:val="35"/>
        </w:rPr>
        <w:t xml:space="preserve"> 分类补充说明</w:t>
      </w:r>
      <w:r>
        <w:tab/>
      </w:r>
      <w:r>
        <w:fldChar w:fldCharType="begin"/>
      </w:r>
      <w:r>
        <w:instrText xml:space="preserve"> PAGEREF _Toc197508794 \h </w:instrText>
      </w:r>
      <w:r>
        <w:fldChar w:fldCharType="separate"/>
      </w:r>
      <w:r>
        <w:t>3</w:t>
      </w:r>
      <w:r>
        <w:fldChar w:fldCharType="end"/>
      </w:r>
      <w:r>
        <w:fldChar w:fldCharType="end"/>
      </w:r>
    </w:p>
    <w:p w14:paraId="3D4126D7">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"_Toc197508795" </w:instrText>
      </w:r>
      <w:r>
        <w:fldChar w:fldCharType="separate"/>
      </w:r>
      <w:r>
        <w:rPr>
          <w:rStyle w:val="35"/>
        </w:rPr>
        <w:t>6 水务码实体标识规则</w:t>
      </w:r>
      <w:r>
        <w:tab/>
      </w:r>
      <w:r>
        <w:fldChar w:fldCharType="begin"/>
      </w:r>
      <w:r>
        <w:instrText xml:space="preserve"> PAGEREF _Toc197508795 \h </w:instrText>
      </w:r>
      <w:r>
        <w:fldChar w:fldCharType="separate"/>
      </w:r>
      <w:r>
        <w:t>3</w:t>
      </w:r>
      <w:r>
        <w:fldChar w:fldCharType="end"/>
      </w:r>
      <w:r>
        <w:fldChar w:fldCharType="end"/>
      </w:r>
    </w:p>
    <w:p w14:paraId="2A5819AB">
      <w:pPr>
        <w:pStyle w:val="25"/>
        <w:rPr>
          <w:rFonts w:asciiTheme="minorHAnsi" w:hAnsiTheme="minorHAnsi" w:eastAsiaTheme="minorEastAsia" w:cstheme="minorBidi"/>
          <w:szCs w:val="22"/>
        </w:rPr>
      </w:pPr>
      <w:r>
        <w:fldChar w:fldCharType="begin"/>
      </w:r>
      <w:r>
        <w:instrText xml:space="preserve"> HYPERLINK \l "_Toc197508796" </w:instrText>
      </w:r>
      <w:r>
        <w:fldChar w:fldCharType="separate"/>
      </w:r>
      <w:r>
        <w:rPr>
          <w:rStyle w:val="35"/>
          <w14:scene3d w14:prst="orthographicFront">
            <w14:lightRig w14:rig="threePt" w14:dir="t">
              <w14:rot w14:lat="0" w14:lon="0" w14:rev="0"/>
            </w14:lightRig>
          </w14:scene3d>
        </w:rPr>
        <w:t>6.1</w:t>
      </w:r>
      <w:r>
        <w:rPr>
          <w:rStyle w:val="35"/>
        </w:rPr>
        <w:t xml:space="preserve"> 身份标识</w:t>
      </w:r>
      <w:r>
        <w:tab/>
      </w:r>
      <w:r>
        <w:fldChar w:fldCharType="begin"/>
      </w:r>
      <w:r>
        <w:instrText xml:space="preserve"> PAGEREF _Toc197508796 \h </w:instrText>
      </w:r>
      <w:r>
        <w:fldChar w:fldCharType="separate"/>
      </w:r>
      <w:r>
        <w:t>3</w:t>
      </w:r>
      <w:r>
        <w:fldChar w:fldCharType="end"/>
      </w:r>
      <w:r>
        <w:fldChar w:fldCharType="end"/>
      </w:r>
    </w:p>
    <w:p w14:paraId="5DB80685">
      <w:pPr>
        <w:pStyle w:val="25"/>
        <w:rPr>
          <w:rFonts w:asciiTheme="minorHAnsi" w:hAnsiTheme="minorHAnsi" w:eastAsiaTheme="minorEastAsia" w:cstheme="minorBidi"/>
          <w:szCs w:val="22"/>
        </w:rPr>
      </w:pPr>
      <w:r>
        <w:fldChar w:fldCharType="begin"/>
      </w:r>
      <w:r>
        <w:instrText xml:space="preserve"> HYPERLINK \l "_Toc197508797" </w:instrText>
      </w:r>
      <w:r>
        <w:fldChar w:fldCharType="separate"/>
      </w:r>
      <w:r>
        <w:rPr>
          <w:rStyle w:val="35"/>
          <w14:scene3d w14:prst="orthographicFront">
            <w14:lightRig w14:rig="threePt" w14:dir="t">
              <w14:rot w14:lat="0" w14:lon="0" w14:rev="0"/>
            </w14:lightRig>
          </w14:scene3d>
        </w:rPr>
        <w:t>6.2</w:t>
      </w:r>
      <w:r>
        <w:rPr>
          <w:rStyle w:val="35"/>
        </w:rPr>
        <w:t xml:space="preserve"> 时空标识</w:t>
      </w:r>
      <w:r>
        <w:tab/>
      </w:r>
      <w:r>
        <w:fldChar w:fldCharType="begin"/>
      </w:r>
      <w:r>
        <w:instrText xml:space="preserve"> PAGEREF _Toc197508797 \h </w:instrText>
      </w:r>
      <w:r>
        <w:fldChar w:fldCharType="separate"/>
      </w:r>
      <w:r>
        <w:t>3</w:t>
      </w:r>
      <w:r>
        <w:fldChar w:fldCharType="end"/>
      </w:r>
      <w:r>
        <w:fldChar w:fldCharType="end"/>
      </w:r>
    </w:p>
    <w:p w14:paraId="5D663D8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"_Toc197508798" </w:instrText>
      </w:r>
      <w:r>
        <w:fldChar w:fldCharType="separate"/>
      </w:r>
      <w:r>
        <w:rPr>
          <w:rStyle w:val="35"/>
        </w:rPr>
        <w:t>7 水务码图形化编码规则</w:t>
      </w:r>
      <w:r>
        <w:tab/>
      </w:r>
      <w:r>
        <w:fldChar w:fldCharType="begin"/>
      </w:r>
      <w:r>
        <w:instrText xml:space="preserve"> PAGEREF _Toc197508798 \h </w:instrText>
      </w:r>
      <w:r>
        <w:fldChar w:fldCharType="separate"/>
      </w:r>
      <w:r>
        <w:t>3</w:t>
      </w:r>
      <w:r>
        <w:fldChar w:fldCharType="end"/>
      </w:r>
      <w:r>
        <w:fldChar w:fldCharType="end"/>
      </w:r>
    </w:p>
    <w:p w14:paraId="1B428CDE">
      <w:pPr>
        <w:pStyle w:val="25"/>
        <w:rPr>
          <w:rFonts w:asciiTheme="minorHAnsi" w:hAnsiTheme="minorHAnsi" w:eastAsiaTheme="minorEastAsia" w:cstheme="minorBidi"/>
          <w:szCs w:val="22"/>
        </w:rPr>
      </w:pPr>
      <w:r>
        <w:fldChar w:fldCharType="begin"/>
      </w:r>
      <w:r>
        <w:instrText xml:space="preserve"> HYPERLINK \l "_Toc197508799" </w:instrText>
      </w:r>
      <w:r>
        <w:fldChar w:fldCharType="separate"/>
      </w:r>
      <w:r>
        <w:rPr>
          <w:rStyle w:val="35"/>
          <w14:scene3d w14:prst="orthographicFront">
            <w14:lightRig w14:rig="threePt" w14:dir="t">
              <w14:rot w14:lat="0" w14:lon="0" w14:rev="0"/>
            </w14:lightRig>
          </w14:scene3d>
        </w:rPr>
        <w:t>7.1</w:t>
      </w:r>
      <w:r>
        <w:rPr>
          <w:rStyle w:val="35"/>
        </w:rPr>
        <w:t xml:space="preserve"> 一般规定</w:t>
      </w:r>
      <w:r>
        <w:tab/>
      </w:r>
      <w:r>
        <w:fldChar w:fldCharType="begin"/>
      </w:r>
      <w:r>
        <w:instrText xml:space="preserve"> PAGEREF _Toc197508799 \h </w:instrText>
      </w:r>
      <w:r>
        <w:fldChar w:fldCharType="separate"/>
      </w:r>
      <w:r>
        <w:t>3</w:t>
      </w:r>
      <w:r>
        <w:fldChar w:fldCharType="end"/>
      </w:r>
      <w:r>
        <w:fldChar w:fldCharType="end"/>
      </w:r>
    </w:p>
    <w:p w14:paraId="5079314C">
      <w:pPr>
        <w:pStyle w:val="25"/>
        <w:rPr>
          <w:rFonts w:asciiTheme="minorHAnsi" w:hAnsiTheme="minorHAnsi" w:eastAsiaTheme="minorEastAsia" w:cstheme="minorBidi"/>
          <w:szCs w:val="22"/>
        </w:rPr>
      </w:pPr>
      <w:r>
        <w:fldChar w:fldCharType="begin"/>
      </w:r>
      <w:r>
        <w:instrText xml:space="preserve"> HYPERLINK \l "_Toc197508800" </w:instrText>
      </w:r>
      <w:r>
        <w:fldChar w:fldCharType="separate"/>
      </w:r>
      <w:r>
        <w:rPr>
          <w:rStyle w:val="35"/>
          <w14:scene3d w14:prst="orthographicFront">
            <w14:lightRig w14:rig="threePt" w14:dir="t">
              <w14:rot w14:lat="0" w14:lon="0" w14:rev="0"/>
            </w14:lightRig>
          </w14:scene3d>
        </w:rPr>
        <w:t>7.2</w:t>
      </w:r>
      <w:r>
        <w:rPr>
          <w:rStyle w:val="35"/>
        </w:rPr>
        <w:t xml:space="preserve"> 水务二维码编码总体范式</w:t>
      </w:r>
      <w:r>
        <w:tab/>
      </w:r>
      <w:r>
        <w:fldChar w:fldCharType="begin"/>
      </w:r>
      <w:r>
        <w:instrText xml:space="preserve"> PAGEREF _Toc197508800 \h </w:instrText>
      </w:r>
      <w:r>
        <w:fldChar w:fldCharType="separate"/>
      </w:r>
      <w:r>
        <w:t>3</w:t>
      </w:r>
      <w:r>
        <w:fldChar w:fldCharType="end"/>
      </w:r>
      <w:r>
        <w:fldChar w:fldCharType="end"/>
      </w:r>
    </w:p>
    <w:p w14:paraId="16C716C7">
      <w:pPr>
        <w:pStyle w:val="25"/>
        <w:rPr>
          <w:rFonts w:asciiTheme="minorHAnsi" w:hAnsiTheme="minorHAnsi" w:eastAsiaTheme="minorEastAsia" w:cstheme="minorBidi"/>
          <w:szCs w:val="22"/>
        </w:rPr>
      </w:pPr>
      <w:r>
        <w:fldChar w:fldCharType="begin"/>
      </w:r>
      <w:r>
        <w:instrText xml:space="preserve"> HYPERLINK \l "_Toc197508801" </w:instrText>
      </w:r>
      <w:r>
        <w:fldChar w:fldCharType="separate"/>
      </w:r>
      <w:r>
        <w:rPr>
          <w:rStyle w:val="35"/>
          <w14:scene3d w14:prst="orthographicFront">
            <w14:lightRig w14:rig="threePt" w14:dir="t">
              <w14:rot w14:lat="0" w14:lon="0" w14:rev="0"/>
            </w14:lightRig>
          </w14:scene3d>
        </w:rPr>
        <w:t>7.3</w:t>
      </w:r>
      <w:r>
        <w:rPr>
          <w:rStyle w:val="35"/>
        </w:rPr>
        <w:t xml:space="preserve"> 水务码统一身份标识编码规则</w:t>
      </w:r>
      <w:r>
        <w:tab/>
      </w:r>
      <w:r>
        <w:fldChar w:fldCharType="begin"/>
      </w:r>
      <w:r>
        <w:instrText xml:space="preserve"> PAGEREF _Toc197508801 \h </w:instrText>
      </w:r>
      <w:r>
        <w:fldChar w:fldCharType="separate"/>
      </w:r>
      <w:r>
        <w:t>4</w:t>
      </w:r>
      <w:r>
        <w:fldChar w:fldCharType="end"/>
      </w:r>
      <w:r>
        <w:fldChar w:fldCharType="end"/>
      </w:r>
    </w:p>
    <w:p w14:paraId="72E73D47">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"_Toc197508802" </w:instrText>
      </w:r>
      <w:r>
        <w:fldChar w:fldCharType="separate"/>
      </w:r>
      <w:r>
        <w:rPr>
          <w:rStyle w:val="35"/>
          <w:spacing w:val="100"/>
        </w:rPr>
        <w:t>附录A</w:t>
      </w:r>
      <w:r>
        <w:rPr>
          <w:rStyle w:val="35"/>
        </w:rPr>
        <w:t xml:space="preserve"> （规范性） 水务对象分类</w:t>
      </w:r>
      <w:r>
        <w:tab/>
      </w:r>
      <w:r>
        <w:fldChar w:fldCharType="begin"/>
      </w:r>
      <w:r>
        <w:instrText xml:space="preserve"> PAGEREF _Toc197508802 \h </w:instrText>
      </w:r>
      <w:r>
        <w:fldChar w:fldCharType="separate"/>
      </w:r>
      <w:r>
        <w:t>6</w:t>
      </w:r>
      <w:r>
        <w:fldChar w:fldCharType="end"/>
      </w:r>
      <w:r>
        <w:fldChar w:fldCharType="end"/>
      </w:r>
    </w:p>
    <w:p w14:paraId="36CBE20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"_Toc197508803" </w:instrText>
      </w:r>
      <w:r>
        <w:fldChar w:fldCharType="separate"/>
      </w:r>
      <w:r>
        <w:rPr>
          <w:rStyle w:val="35"/>
          <w:spacing w:val="105"/>
        </w:rPr>
        <w:t>参考文</w:t>
      </w:r>
      <w:r>
        <w:rPr>
          <w:rStyle w:val="35"/>
        </w:rPr>
        <w:t>献</w:t>
      </w:r>
      <w:r>
        <w:tab/>
      </w:r>
      <w:r>
        <w:fldChar w:fldCharType="begin"/>
      </w:r>
      <w:r>
        <w:instrText xml:space="preserve"> PAGEREF _Toc197508803 \h </w:instrText>
      </w:r>
      <w:r>
        <w:fldChar w:fldCharType="separate"/>
      </w:r>
      <w:r>
        <w:t>8</w:t>
      </w:r>
      <w:r>
        <w:fldChar w:fldCharType="end"/>
      </w:r>
      <w:r>
        <w:fldChar w:fldCharType="end"/>
      </w:r>
    </w:p>
    <w:p w14:paraId="158111ED">
      <w:pPr>
        <w:pStyle w:val="95"/>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4BE4C0A4">
      <w:pPr>
        <w:pStyle w:val="93"/>
        <w:spacing w:after="468"/>
      </w:pPr>
      <w:bookmarkStart w:id="22" w:name="_Toc197508778"/>
      <w:r>
        <w:rPr>
          <w:spacing w:val="320"/>
        </w:rPr>
        <w:t>前</w:t>
      </w:r>
      <w:r>
        <w:t>言</w:t>
      </w:r>
      <w:bookmarkEnd w:id="22"/>
    </w:p>
    <w:p w14:paraId="77601538">
      <w:pPr>
        <w:pStyle w:val="60"/>
        <w:ind w:firstLine="420"/>
      </w:pPr>
      <w:r>
        <w:rPr>
          <w:rFonts w:hint="eastAsia"/>
        </w:rPr>
        <w:t>本文件按照GB/T 1.1—2020《标准化工作导则  第1部分：标准化文件的结构和起草规则》的规定起草。</w:t>
      </w:r>
    </w:p>
    <w:p w14:paraId="21D3E14B">
      <w:pPr>
        <w:pStyle w:val="60"/>
        <w:ind w:firstLine="420"/>
      </w:pPr>
      <w:r>
        <w:rPr>
          <w:rFonts w:hint="eastAsia"/>
        </w:rPr>
        <w:t>本文件是DB11/T XXXX《水务码分类与编码》的第1部分。DB11/T XXXX已经发布了以下部分：</w:t>
      </w:r>
    </w:p>
    <w:p w14:paraId="74158D48">
      <w:pPr>
        <w:pStyle w:val="136"/>
        <w:numPr>
          <w:ilvl w:val="0"/>
          <w:numId w:val="32"/>
        </w:numPr>
      </w:pPr>
      <w:r>
        <w:rPr>
          <w:rFonts w:hint="eastAsia"/>
        </w:rPr>
        <w:t>第1部分：</w:t>
      </w:r>
      <w:r>
        <w:t>总则；</w:t>
      </w:r>
    </w:p>
    <w:p w14:paraId="26D556EE">
      <w:pPr>
        <w:pStyle w:val="136"/>
        <w:numPr>
          <w:ilvl w:val="0"/>
          <w:numId w:val="32"/>
        </w:numPr>
      </w:pPr>
      <w:r>
        <w:rPr>
          <w:rFonts w:hint="eastAsia"/>
        </w:rPr>
        <w:t>第2部分：河流和湖泊；</w:t>
      </w:r>
    </w:p>
    <w:p w14:paraId="188D51FF">
      <w:pPr>
        <w:pStyle w:val="136"/>
        <w:numPr>
          <w:ilvl w:val="0"/>
          <w:numId w:val="32"/>
        </w:numPr>
      </w:pPr>
      <w:r>
        <w:rPr>
          <w:rFonts w:hint="eastAsia"/>
        </w:rPr>
        <w:t>第</w:t>
      </w:r>
      <w:r>
        <w:t>3</w:t>
      </w:r>
      <w:r>
        <w:rPr>
          <w:rFonts w:hint="eastAsia"/>
        </w:rPr>
        <w:t>部分：水利工程；</w:t>
      </w:r>
    </w:p>
    <w:p w14:paraId="7105016A">
      <w:pPr>
        <w:pStyle w:val="136"/>
        <w:numPr>
          <w:ilvl w:val="0"/>
          <w:numId w:val="32"/>
        </w:numPr>
      </w:pPr>
      <w:r>
        <w:rPr>
          <w:rFonts w:hint="eastAsia"/>
        </w:rPr>
        <w:t>第</w:t>
      </w:r>
      <w:r>
        <w:t>4</w:t>
      </w:r>
      <w:r>
        <w:rPr>
          <w:rFonts w:hint="eastAsia"/>
        </w:rPr>
        <w:t>部分：测站；</w:t>
      </w:r>
    </w:p>
    <w:p w14:paraId="7F2AC55D">
      <w:pPr>
        <w:pStyle w:val="136"/>
        <w:numPr>
          <w:ilvl w:val="0"/>
          <w:numId w:val="32"/>
        </w:numPr>
      </w:pPr>
      <w:r>
        <w:rPr>
          <w:rFonts w:hint="eastAsia"/>
        </w:rPr>
        <w:t>第</w:t>
      </w:r>
      <w:r>
        <w:t>5</w:t>
      </w:r>
      <w:r>
        <w:rPr>
          <w:rFonts w:hint="eastAsia"/>
        </w:rPr>
        <w:t>部分：供水；</w:t>
      </w:r>
    </w:p>
    <w:p w14:paraId="455B2C0B">
      <w:pPr>
        <w:pStyle w:val="136"/>
        <w:numPr>
          <w:ilvl w:val="0"/>
          <w:numId w:val="32"/>
        </w:numPr>
      </w:pPr>
      <w:r>
        <w:rPr>
          <w:rFonts w:hint="eastAsia"/>
        </w:rPr>
        <w:t>第</w:t>
      </w:r>
      <w:r>
        <w:t>6</w:t>
      </w:r>
      <w:r>
        <w:rPr>
          <w:rFonts w:hint="eastAsia"/>
        </w:rPr>
        <w:t>部分：排水；</w:t>
      </w:r>
    </w:p>
    <w:p w14:paraId="37BC696A">
      <w:pPr>
        <w:pStyle w:val="136"/>
        <w:numPr>
          <w:ilvl w:val="0"/>
          <w:numId w:val="32"/>
        </w:numPr>
      </w:pPr>
      <w:r>
        <w:rPr>
          <w:rFonts w:hint="eastAsia"/>
        </w:rPr>
        <w:t>第</w:t>
      </w:r>
      <w:r>
        <w:t>7</w:t>
      </w:r>
      <w:r>
        <w:rPr>
          <w:rFonts w:hint="eastAsia"/>
        </w:rPr>
        <w:t>部分：水土保持；</w:t>
      </w:r>
    </w:p>
    <w:p w14:paraId="36B480AB">
      <w:pPr>
        <w:pStyle w:val="136"/>
        <w:numPr>
          <w:ilvl w:val="0"/>
          <w:numId w:val="32"/>
        </w:numPr>
      </w:pPr>
      <w:r>
        <w:rPr>
          <w:rFonts w:hint="eastAsia"/>
        </w:rPr>
        <w:t>第</w:t>
      </w:r>
      <w:r>
        <w:t>8</w:t>
      </w:r>
      <w:r>
        <w:rPr>
          <w:rFonts w:hint="eastAsia"/>
        </w:rPr>
        <w:t>部分：水资源开发利用；</w:t>
      </w:r>
    </w:p>
    <w:p w14:paraId="673003F0">
      <w:pPr>
        <w:pStyle w:val="136"/>
        <w:numPr>
          <w:ilvl w:val="0"/>
          <w:numId w:val="32"/>
        </w:numPr>
      </w:pPr>
      <w:r>
        <w:rPr>
          <w:rFonts w:hint="eastAsia"/>
        </w:rPr>
        <w:t>第</w:t>
      </w:r>
      <w:r>
        <w:t>9</w:t>
      </w:r>
      <w:r>
        <w:rPr>
          <w:rFonts w:hint="eastAsia"/>
        </w:rPr>
        <w:t>部分：水文化遗产。</w:t>
      </w:r>
    </w:p>
    <w:p w14:paraId="24B12370">
      <w:pPr>
        <w:pStyle w:val="60"/>
        <w:ind w:firstLine="420"/>
      </w:pPr>
      <w:r>
        <w:rPr>
          <w:rFonts w:hint="eastAsia"/>
        </w:rPr>
        <w:t>本文件由北京市水务局提出并归口。</w:t>
      </w:r>
    </w:p>
    <w:p w14:paraId="6BA4DEE6">
      <w:pPr>
        <w:pStyle w:val="60"/>
        <w:ind w:firstLine="420"/>
      </w:pPr>
      <w:r>
        <w:rPr>
          <w:rFonts w:hint="eastAsia"/>
        </w:rPr>
        <w:t>本文件由北京市水务局组织实施。</w:t>
      </w:r>
    </w:p>
    <w:p w14:paraId="328228E5">
      <w:pPr>
        <w:pStyle w:val="60"/>
        <w:ind w:firstLine="420"/>
      </w:pPr>
      <w:r>
        <w:rPr>
          <w:rFonts w:hint="eastAsia"/>
        </w:rPr>
        <w:t>本文件起草单位：北京市智慧水务发展研究院</w:t>
      </w:r>
      <w:r>
        <w:t>、北京市水科学技术研究院</w:t>
      </w:r>
    </w:p>
    <w:p w14:paraId="135A6D35">
      <w:pPr>
        <w:pStyle w:val="60"/>
        <w:ind w:firstLine="420"/>
      </w:pPr>
      <w:r>
        <w:rPr>
          <w:rFonts w:hint="eastAsia"/>
        </w:rPr>
        <w:t>本文件主要起草人：</w:t>
      </w:r>
    </w:p>
    <w:p w14:paraId="1710B115">
      <w:pPr>
        <w:pStyle w:val="60"/>
        <w:ind w:firstLine="420"/>
      </w:pPr>
    </w:p>
    <w:p w14:paraId="2B040FA9">
      <w:pPr>
        <w:pStyle w:val="60"/>
        <w:ind w:firstLine="420"/>
        <w:sectPr>
          <w:pgSz w:w="11906" w:h="16838"/>
          <w:pgMar w:top="2410" w:right="1134" w:bottom="1134" w:left="1134" w:header="1418" w:footer="1134" w:gutter="284"/>
          <w:pgNumType w:fmt="upperRoman"/>
          <w:cols w:space="425" w:num="1"/>
          <w:formProt w:val="0"/>
          <w:docGrid w:type="lines" w:linePitch="312" w:charSpace="0"/>
        </w:sectPr>
      </w:pPr>
      <w:bookmarkStart w:id="23" w:name="BookMark2"/>
    </w:p>
    <w:bookmarkEnd w:id="23"/>
    <w:p w14:paraId="5D5FF626">
      <w:pPr>
        <w:pStyle w:val="93"/>
        <w:spacing w:after="468"/>
      </w:pPr>
      <w:bookmarkStart w:id="24" w:name="_Toc197508779"/>
      <w:bookmarkStart w:id="25" w:name="BookMark3"/>
      <w:r>
        <w:rPr>
          <w:spacing w:val="320"/>
        </w:rPr>
        <w:t>引</w:t>
      </w:r>
      <w:r>
        <w:t>言</w:t>
      </w:r>
      <w:bookmarkEnd w:id="24"/>
    </w:p>
    <w:p w14:paraId="5E8601C4">
      <w:pPr>
        <w:pStyle w:val="60"/>
        <w:ind w:firstLine="420"/>
      </w:pPr>
      <w:r>
        <w:rPr>
          <w:rFonts w:hint="eastAsia"/>
        </w:rPr>
        <w:t>DB11/T XXXX《水务码分类与编码》是指导水务运行</w:t>
      </w:r>
      <w:r>
        <w:t>与</w:t>
      </w:r>
      <w:r>
        <w:rPr>
          <w:rFonts w:hint="eastAsia"/>
        </w:rPr>
        <w:t>管理</w:t>
      </w:r>
      <w:r>
        <w:t>对象</w:t>
      </w:r>
      <w:r>
        <w:rPr>
          <w:rFonts w:hint="eastAsia"/>
        </w:rPr>
        <w:t>按照</w:t>
      </w:r>
      <w:r>
        <w:t>城市码</w:t>
      </w:r>
      <w:r>
        <w:rPr>
          <w:rFonts w:hint="eastAsia"/>
        </w:rPr>
        <w:t>要</w:t>
      </w:r>
      <w:r>
        <w:t>求进行编码</w:t>
      </w:r>
      <w:r>
        <w:rPr>
          <w:rFonts w:hint="eastAsia"/>
        </w:rPr>
        <w:t>的基础性和通用性技术标准，DB11/T XXXX旨在确立水务码编码规范，由以下部分构成：</w:t>
      </w:r>
    </w:p>
    <w:p w14:paraId="08F6771B">
      <w:pPr>
        <w:pStyle w:val="136"/>
        <w:numPr>
          <w:ilvl w:val="0"/>
          <w:numId w:val="32"/>
        </w:numPr>
        <w:ind w:left="0" w:firstLine="420" w:firstLineChars="200"/>
      </w:pPr>
      <w:r>
        <w:rPr>
          <w:rFonts w:hint="eastAsia"/>
        </w:rPr>
        <w:t>第1部分：</w:t>
      </w:r>
      <w:r>
        <w:t>总则。</w:t>
      </w:r>
      <w:r>
        <w:rPr>
          <w:rFonts w:hint="eastAsia"/>
        </w:rPr>
        <w:t>目的</w:t>
      </w:r>
      <w:r>
        <w:t>在于确立适用于各类</w:t>
      </w:r>
      <w:r>
        <w:rPr>
          <w:rFonts w:hint="eastAsia"/>
        </w:rPr>
        <w:t>水务运行</w:t>
      </w:r>
      <w:r>
        <w:t>与</w:t>
      </w:r>
      <w:r>
        <w:rPr>
          <w:rFonts w:hint="eastAsia"/>
        </w:rPr>
        <w:t>管理</w:t>
      </w:r>
      <w:r>
        <w:t>对象</w:t>
      </w:r>
      <w:r>
        <w:rPr>
          <w:rFonts w:hint="eastAsia"/>
        </w:rPr>
        <w:t>的编码</w:t>
      </w:r>
      <w:r>
        <w:t>总体</w:t>
      </w:r>
      <w:r>
        <w:rPr>
          <w:rFonts w:hint="eastAsia"/>
        </w:rPr>
        <w:t>原则</w:t>
      </w:r>
      <w:r>
        <w:t>和</w:t>
      </w:r>
      <w:r>
        <w:rPr>
          <w:rFonts w:hint="eastAsia"/>
        </w:rPr>
        <w:t>相关</w:t>
      </w:r>
      <w:r>
        <w:t>规则。</w:t>
      </w:r>
    </w:p>
    <w:p w14:paraId="66D0E5A4">
      <w:pPr>
        <w:pStyle w:val="136"/>
        <w:numPr>
          <w:ilvl w:val="0"/>
          <w:numId w:val="32"/>
        </w:numPr>
        <w:ind w:left="0" w:firstLine="420" w:firstLineChars="200"/>
      </w:pPr>
      <w:r>
        <w:rPr>
          <w:rFonts w:hint="eastAsia"/>
        </w:rPr>
        <w:t>第2部分：河流和湖泊。目的</w:t>
      </w:r>
      <w:r>
        <w:t>在于确立适用于</w:t>
      </w:r>
      <w:r>
        <w:rPr>
          <w:rFonts w:hint="eastAsia"/>
        </w:rPr>
        <w:t>河流</w:t>
      </w:r>
      <w:r>
        <w:t>、</w:t>
      </w:r>
      <w:r>
        <w:rPr>
          <w:rFonts w:hint="eastAsia"/>
        </w:rPr>
        <w:t>湖泊</w:t>
      </w:r>
      <w:r>
        <w:t>等</w:t>
      </w:r>
      <w:r>
        <w:rPr>
          <w:rFonts w:hint="eastAsia"/>
        </w:rPr>
        <w:t>河湖</w:t>
      </w:r>
      <w:r>
        <w:t>基础</w:t>
      </w:r>
      <w:r>
        <w:rPr>
          <w:rFonts w:hint="eastAsia"/>
        </w:rPr>
        <w:t>类</w:t>
      </w:r>
      <w:r>
        <w:t>对象的</w:t>
      </w:r>
      <w:r>
        <w:rPr>
          <w:rFonts w:hint="eastAsia"/>
        </w:rPr>
        <w:t>定义和32位</w:t>
      </w:r>
      <w:r>
        <w:t>身份标识</w:t>
      </w:r>
      <w:r>
        <w:rPr>
          <w:rFonts w:hint="eastAsia"/>
        </w:rPr>
        <w:t>编码规则。</w:t>
      </w:r>
    </w:p>
    <w:p w14:paraId="1CC08DEB">
      <w:pPr>
        <w:pStyle w:val="136"/>
        <w:numPr>
          <w:ilvl w:val="0"/>
          <w:numId w:val="32"/>
        </w:numPr>
        <w:ind w:left="0" w:firstLine="420" w:firstLineChars="200"/>
      </w:pPr>
      <w:r>
        <w:rPr>
          <w:rFonts w:hint="eastAsia"/>
        </w:rPr>
        <w:t>第</w:t>
      </w:r>
      <w:r>
        <w:t>3</w:t>
      </w:r>
      <w:r>
        <w:rPr>
          <w:rFonts w:hint="eastAsia"/>
        </w:rPr>
        <w:t>部分：水利工程。目的</w:t>
      </w:r>
      <w:r>
        <w:t>在于确立适用于</w:t>
      </w:r>
      <w:r>
        <w:rPr>
          <w:rFonts w:hint="eastAsia"/>
        </w:rPr>
        <w:t>水库</w:t>
      </w:r>
      <w:r>
        <w:t>、</w:t>
      </w:r>
      <w:r>
        <w:rPr>
          <w:rFonts w:hint="eastAsia"/>
        </w:rPr>
        <w:t>大坝</w:t>
      </w:r>
      <w:r>
        <w:t>等</w:t>
      </w:r>
      <w:r>
        <w:rPr>
          <w:rFonts w:hint="eastAsia"/>
        </w:rPr>
        <w:t>水利工程类</w:t>
      </w:r>
      <w:r>
        <w:t>对象的</w:t>
      </w:r>
      <w:r>
        <w:rPr>
          <w:rFonts w:hint="eastAsia"/>
        </w:rPr>
        <w:t>定义和32位</w:t>
      </w:r>
      <w:r>
        <w:t>身份标识</w:t>
      </w:r>
      <w:r>
        <w:rPr>
          <w:rFonts w:hint="eastAsia"/>
        </w:rPr>
        <w:t>编码规则。</w:t>
      </w:r>
    </w:p>
    <w:p w14:paraId="4FAA36AB">
      <w:pPr>
        <w:pStyle w:val="136"/>
        <w:numPr>
          <w:ilvl w:val="0"/>
          <w:numId w:val="32"/>
        </w:numPr>
        <w:ind w:left="0" w:firstLine="420" w:firstLineChars="200"/>
      </w:pPr>
      <w:r>
        <w:rPr>
          <w:rFonts w:hint="eastAsia"/>
        </w:rPr>
        <w:t>第</w:t>
      </w:r>
      <w:r>
        <w:t>4</w:t>
      </w:r>
      <w:r>
        <w:rPr>
          <w:rFonts w:hint="eastAsia"/>
        </w:rPr>
        <w:t>部分：测站。目的</w:t>
      </w:r>
      <w:r>
        <w:t>在于确立适用于</w:t>
      </w:r>
      <w:r>
        <w:rPr>
          <w:rFonts w:hint="eastAsia"/>
        </w:rPr>
        <w:t>水文监测站</w:t>
      </w:r>
      <w:r>
        <w:t>、</w:t>
      </w:r>
      <w:r>
        <w:rPr>
          <w:rFonts w:hint="eastAsia"/>
        </w:rPr>
        <w:t>水土</w:t>
      </w:r>
      <w:r>
        <w:t>保持</w:t>
      </w:r>
      <w:r>
        <w:rPr>
          <w:rFonts w:hint="eastAsia"/>
        </w:rPr>
        <w:t>监测站</w:t>
      </w:r>
      <w:r>
        <w:t>等</w:t>
      </w:r>
      <w:r>
        <w:rPr>
          <w:rFonts w:hint="eastAsia"/>
        </w:rPr>
        <w:t>监测</w:t>
      </w:r>
      <w:r>
        <w:t>站点</w:t>
      </w:r>
      <w:r>
        <w:rPr>
          <w:rFonts w:hint="eastAsia"/>
        </w:rPr>
        <w:t>类</w:t>
      </w:r>
      <w:r>
        <w:t>对象的</w:t>
      </w:r>
      <w:r>
        <w:rPr>
          <w:rFonts w:hint="eastAsia"/>
        </w:rPr>
        <w:t>定义和32位身份标识编码规则。</w:t>
      </w:r>
    </w:p>
    <w:p w14:paraId="4BF2B3D7">
      <w:pPr>
        <w:pStyle w:val="136"/>
        <w:numPr>
          <w:ilvl w:val="0"/>
          <w:numId w:val="32"/>
        </w:numPr>
        <w:ind w:left="0" w:firstLine="420" w:firstLineChars="200"/>
      </w:pPr>
      <w:r>
        <w:rPr>
          <w:rFonts w:hint="eastAsia"/>
        </w:rPr>
        <w:t>第</w:t>
      </w:r>
      <w:r>
        <w:t>5</w:t>
      </w:r>
      <w:r>
        <w:rPr>
          <w:rFonts w:hint="eastAsia"/>
        </w:rPr>
        <w:t>部分：供水。目的</w:t>
      </w:r>
      <w:r>
        <w:t>在于确立适用于</w:t>
      </w:r>
      <w:r>
        <w:rPr>
          <w:rFonts w:hint="eastAsia"/>
        </w:rPr>
        <w:t>城镇公共供水厂</w:t>
      </w:r>
      <w:r>
        <w:t>、</w:t>
      </w:r>
      <w:r>
        <w:rPr>
          <w:rFonts w:hint="eastAsia"/>
        </w:rPr>
        <w:t>乡镇</w:t>
      </w:r>
      <w:r>
        <w:t>集中供水厂等</w:t>
      </w:r>
      <w:r>
        <w:rPr>
          <w:rFonts w:hint="eastAsia"/>
        </w:rPr>
        <w:t>供水类</w:t>
      </w:r>
      <w:r>
        <w:t>对象的</w:t>
      </w:r>
      <w:r>
        <w:rPr>
          <w:rFonts w:hint="eastAsia"/>
        </w:rPr>
        <w:t>定义和32位身份标识编码规则。</w:t>
      </w:r>
    </w:p>
    <w:p w14:paraId="5E224570">
      <w:pPr>
        <w:pStyle w:val="136"/>
        <w:numPr>
          <w:ilvl w:val="0"/>
          <w:numId w:val="32"/>
        </w:numPr>
        <w:ind w:left="0" w:firstLine="420" w:firstLineChars="200"/>
      </w:pPr>
      <w:r>
        <w:rPr>
          <w:rFonts w:hint="eastAsia"/>
        </w:rPr>
        <w:t>第</w:t>
      </w:r>
      <w:r>
        <w:t>6</w:t>
      </w:r>
      <w:r>
        <w:rPr>
          <w:rFonts w:hint="eastAsia"/>
        </w:rPr>
        <w:t>部分：排水。目的</w:t>
      </w:r>
      <w:r>
        <w:t>在于确立适用于</w:t>
      </w:r>
      <w:r>
        <w:rPr>
          <w:rFonts w:hint="eastAsia"/>
        </w:rPr>
        <w:t>城镇污水</w:t>
      </w:r>
      <w:r>
        <w:t>处理设施、农村污水处理设施等</w:t>
      </w:r>
      <w:r>
        <w:rPr>
          <w:rFonts w:hint="eastAsia"/>
        </w:rPr>
        <w:t>排水类</w:t>
      </w:r>
      <w:r>
        <w:t>对象的</w:t>
      </w:r>
      <w:r>
        <w:rPr>
          <w:rFonts w:hint="eastAsia"/>
        </w:rPr>
        <w:t>定义和32位身份标识编码规则。</w:t>
      </w:r>
    </w:p>
    <w:p w14:paraId="654547E6">
      <w:pPr>
        <w:pStyle w:val="136"/>
        <w:numPr>
          <w:ilvl w:val="0"/>
          <w:numId w:val="32"/>
        </w:numPr>
        <w:ind w:left="0" w:firstLine="420" w:firstLineChars="200"/>
      </w:pPr>
      <w:r>
        <w:rPr>
          <w:rFonts w:hint="eastAsia"/>
        </w:rPr>
        <w:t>第</w:t>
      </w:r>
      <w:r>
        <w:t>7</w:t>
      </w:r>
      <w:r>
        <w:rPr>
          <w:rFonts w:hint="eastAsia"/>
        </w:rPr>
        <w:t>部分：水土保持。目的</w:t>
      </w:r>
      <w:r>
        <w:t>在于确立适用于</w:t>
      </w:r>
      <w:r>
        <w:rPr>
          <w:rFonts w:hint="eastAsia"/>
        </w:rPr>
        <w:t>小流域</w:t>
      </w:r>
      <w:r>
        <w:t>等</w:t>
      </w:r>
      <w:r>
        <w:rPr>
          <w:rFonts w:hint="eastAsia"/>
        </w:rPr>
        <w:t>水土</w:t>
      </w:r>
      <w:r>
        <w:t>保持</w:t>
      </w:r>
      <w:r>
        <w:rPr>
          <w:rFonts w:hint="eastAsia"/>
        </w:rPr>
        <w:t>类</w:t>
      </w:r>
      <w:r>
        <w:t>对象的</w:t>
      </w:r>
      <w:r>
        <w:rPr>
          <w:rFonts w:hint="eastAsia"/>
        </w:rPr>
        <w:t>定义和32位身份标识编码规则。</w:t>
      </w:r>
    </w:p>
    <w:p w14:paraId="2ECB101A">
      <w:pPr>
        <w:pStyle w:val="136"/>
        <w:numPr>
          <w:ilvl w:val="0"/>
          <w:numId w:val="32"/>
        </w:numPr>
        <w:ind w:left="0" w:firstLine="420" w:firstLineChars="200"/>
      </w:pPr>
      <w:r>
        <w:rPr>
          <w:rFonts w:hint="eastAsia"/>
        </w:rPr>
        <w:t>第</w:t>
      </w:r>
      <w:r>
        <w:t>8</w:t>
      </w:r>
      <w:r>
        <w:rPr>
          <w:rFonts w:hint="eastAsia"/>
        </w:rPr>
        <w:t>部分：水资源开发利用。目的</w:t>
      </w:r>
      <w:r>
        <w:t>在于确立适用于</w:t>
      </w:r>
      <w:r>
        <w:rPr>
          <w:rFonts w:hint="eastAsia"/>
        </w:rPr>
        <w:t>机井、河湖</w:t>
      </w:r>
      <w:r>
        <w:t>取水口等</w:t>
      </w:r>
      <w:r>
        <w:rPr>
          <w:rFonts w:hint="eastAsia"/>
        </w:rPr>
        <w:t>水资源</w:t>
      </w:r>
      <w:r>
        <w:t>开发利用</w:t>
      </w:r>
      <w:r>
        <w:rPr>
          <w:rFonts w:hint="eastAsia"/>
        </w:rPr>
        <w:t>类</w:t>
      </w:r>
      <w:r>
        <w:t>对象的</w:t>
      </w:r>
      <w:r>
        <w:rPr>
          <w:rFonts w:hint="eastAsia"/>
        </w:rPr>
        <w:t>定义和32位身份标识编码规则。</w:t>
      </w:r>
    </w:p>
    <w:p w14:paraId="43EF2B80">
      <w:pPr>
        <w:pStyle w:val="136"/>
        <w:numPr>
          <w:ilvl w:val="0"/>
          <w:numId w:val="32"/>
        </w:numPr>
        <w:ind w:left="0" w:firstLine="420" w:firstLineChars="200"/>
      </w:pPr>
      <w:r>
        <w:rPr>
          <w:rFonts w:hint="eastAsia"/>
        </w:rPr>
        <w:t>第</w:t>
      </w:r>
      <w:r>
        <w:t>9</w:t>
      </w:r>
      <w:r>
        <w:rPr>
          <w:rFonts w:hint="eastAsia"/>
        </w:rPr>
        <w:t>部分：水文化遗产。目的</w:t>
      </w:r>
      <w:r>
        <w:t>在于确立适用于</w:t>
      </w:r>
      <w:r>
        <w:rPr>
          <w:rFonts w:hint="eastAsia"/>
        </w:rPr>
        <w:t>不可移动物质</w:t>
      </w:r>
      <w:r>
        <w:t>形态、可移动</w:t>
      </w:r>
      <w:r>
        <w:rPr>
          <w:rFonts w:hint="eastAsia"/>
        </w:rPr>
        <w:t>物质形态等水文化</w:t>
      </w:r>
      <w:r>
        <w:t>遗产类对象的</w:t>
      </w:r>
      <w:r>
        <w:rPr>
          <w:rFonts w:hint="eastAsia"/>
        </w:rPr>
        <w:t>定义和32位身份标识编码规则。</w:t>
      </w:r>
    </w:p>
    <w:p w14:paraId="0722A318">
      <w:pPr>
        <w:pStyle w:val="60"/>
        <w:ind w:firstLine="420"/>
      </w:pPr>
    </w:p>
    <w:p w14:paraId="1C11B720">
      <w:pPr>
        <w:pStyle w:val="60"/>
        <w:ind w:firstLine="420"/>
      </w:pPr>
    </w:p>
    <w:p w14:paraId="5A7E1687">
      <w:pPr>
        <w:pStyle w:val="60"/>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14:paraId="4896B8E2">
      <w:pPr>
        <w:spacing w:line="20" w:lineRule="exact"/>
        <w:jc w:val="center"/>
        <w:rPr>
          <w:rFonts w:ascii="黑体" w:hAnsi="黑体" w:eastAsia="黑体"/>
          <w:sz w:val="32"/>
          <w:szCs w:val="32"/>
        </w:rPr>
      </w:pPr>
      <w:bookmarkStart w:id="26" w:name="BookMark4"/>
    </w:p>
    <w:p w14:paraId="6E04FAFE">
      <w:pPr>
        <w:spacing w:line="20" w:lineRule="exact"/>
        <w:jc w:val="center"/>
        <w:rPr>
          <w:rFonts w:ascii="黑体" w:hAnsi="黑体" w:eastAsia="黑体"/>
          <w:sz w:val="32"/>
          <w:szCs w:val="32"/>
        </w:rPr>
      </w:pPr>
    </w:p>
    <w:sdt>
      <w:sdtPr>
        <w:tag w:val="NEW_STAND_NAME"/>
        <w:id w:val="595910757"/>
        <w:lock w:val="sdtLocked"/>
        <w:placeholder>
          <w:docPart w:val="CF52EE8F0DFC42D5A4019771F4001ECE"/>
        </w:placeholder>
      </w:sdtPr>
      <w:sdtContent>
        <w:p w14:paraId="0B7C5841">
          <w:pPr>
            <w:pStyle w:val="181"/>
            <w:spacing w:before="3" w:beforeLines="1" w:after="686" w:afterLines="220"/>
          </w:pPr>
          <w:bookmarkStart w:id="27" w:name="NEW_STAND_NAME"/>
          <w:r>
            <w:rPr>
              <w:rFonts w:hint="eastAsia"/>
            </w:rPr>
            <w:t>水务码分类与编码</w:t>
          </w:r>
          <w:r>
            <w:br w:type="textWrapping"/>
          </w:r>
          <w:r>
            <w:t>第1部分：</w:t>
          </w:r>
          <w:r>
            <w:rPr>
              <w:rFonts w:hint="eastAsia"/>
            </w:rPr>
            <w:t>总则</w:t>
          </w:r>
        </w:p>
      </w:sdtContent>
    </w:sdt>
    <w:bookmarkEnd w:id="27"/>
    <w:p w14:paraId="29AFE113">
      <w:pPr>
        <w:pStyle w:val="108"/>
        <w:spacing w:before="312" w:after="312"/>
      </w:pPr>
      <w:bookmarkStart w:id="28" w:name="_Toc26986771"/>
      <w:bookmarkStart w:id="29" w:name="_Toc26718930"/>
      <w:bookmarkStart w:id="30" w:name="_Toc26986530"/>
      <w:bookmarkStart w:id="31" w:name="_Toc24884218"/>
      <w:bookmarkStart w:id="32" w:name="_Toc17233333"/>
      <w:bookmarkStart w:id="33" w:name="_Toc17233325"/>
      <w:bookmarkStart w:id="34" w:name="_Toc26648465"/>
      <w:bookmarkStart w:id="35" w:name="_Toc24884211"/>
      <w:bookmarkStart w:id="36" w:name="_Toc197508780"/>
      <w:r>
        <w:rPr>
          <w:rFonts w:hint="eastAsia"/>
        </w:rPr>
        <w:t>范围</w:t>
      </w:r>
      <w:bookmarkEnd w:id="28"/>
      <w:bookmarkEnd w:id="29"/>
      <w:bookmarkEnd w:id="30"/>
      <w:bookmarkEnd w:id="31"/>
      <w:bookmarkEnd w:id="32"/>
      <w:bookmarkEnd w:id="33"/>
      <w:bookmarkEnd w:id="34"/>
      <w:bookmarkEnd w:id="35"/>
      <w:bookmarkEnd w:id="36"/>
    </w:p>
    <w:p w14:paraId="07E87143">
      <w:pPr>
        <w:pStyle w:val="60"/>
        <w:ind w:firstLine="420"/>
      </w:pPr>
      <w:bookmarkStart w:id="37" w:name="_Toc26648466"/>
      <w:bookmarkStart w:id="38" w:name="_Toc17233334"/>
      <w:bookmarkStart w:id="39" w:name="_Toc17233326"/>
      <w:bookmarkStart w:id="40" w:name="_Toc24884219"/>
      <w:bookmarkStart w:id="41" w:name="_Toc24884212"/>
      <w:r>
        <w:rPr>
          <w:rFonts w:hint="eastAsia"/>
        </w:rPr>
        <w:t>本文件规定了水务运行</w:t>
      </w:r>
      <w:r>
        <w:t>与管理对象的编码原则、</w:t>
      </w:r>
      <w:r>
        <w:rPr>
          <w:rFonts w:hint="eastAsia"/>
        </w:rPr>
        <w:t>对象</w:t>
      </w:r>
      <w:r>
        <w:t>分类和</w:t>
      </w:r>
      <w:r>
        <w:rPr>
          <w:rFonts w:hint="eastAsia"/>
        </w:rPr>
        <w:t>编码</w:t>
      </w:r>
      <w:r>
        <w:t>规则</w:t>
      </w:r>
      <w:r>
        <w:rPr>
          <w:rFonts w:hint="eastAsia"/>
        </w:rPr>
        <w:t>。</w:t>
      </w:r>
    </w:p>
    <w:p w14:paraId="6D3C2133">
      <w:pPr>
        <w:pStyle w:val="60"/>
        <w:ind w:firstLine="420"/>
      </w:pPr>
      <w:r>
        <w:rPr>
          <w:rFonts w:hint="eastAsia"/>
        </w:rPr>
        <w:t>本文件适用于水资源自然循环和社会循环涉及的水务运行与管理对象，包括水事活动中所涉及的水行业范围内的管理实体。</w:t>
      </w:r>
    </w:p>
    <w:p w14:paraId="352CB677">
      <w:pPr>
        <w:pStyle w:val="108"/>
        <w:spacing w:before="312" w:after="312"/>
      </w:pPr>
      <w:bookmarkStart w:id="42" w:name="_Toc26986772"/>
      <w:bookmarkStart w:id="43" w:name="_Toc26986531"/>
      <w:bookmarkStart w:id="44" w:name="_Toc26718931"/>
      <w:bookmarkStart w:id="45" w:name="_Toc197508781"/>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19671D49C8F5453ABC44E7B27A2317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C8FB25E">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FA1213">
      <w:pPr>
        <w:pStyle w:val="60"/>
        <w:ind w:firstLine="420"/>
      </w:pPr>
      <w:r>
        <w:rPr>
          <w:rFonts w:hint="eastAsia"/>
        </w:rPr>
        <w:t xml:space="preserve">SL/T 213 </w:t>
      </w:r>
      <w:r>
        <w:t xml:space="preserve"> </w:t>
      </w:r>
      <w:r>
        <w:rPr>
          <w:rFonts w:hint="eastAsia"/>
        </w:rPr>
        <w:t>水利对象分类与编码总则</w:t>
      </w:r>
    </w:p>
    <w:p w14:paraId="32B8F7EF">
      <w:pPr>
        <w:pStyle w:val="60"/>
        <w:ind w:firstLine="420"/>
      </w:pPr>
      <w:r>
        <w:rPr>
          <w:rFonts w:hint="eastAsia"/>
        </w:rPr>
        <w:t>DB11/T 064  北京市行政区划代码</w:t>
      </w:r>
    </w:p>
    <w:p w14:paraId="01FB7219">
      <w:pPr>
        <w:pStyle w:val="60"/>
        <w:ind w:firstLine="420"/>
      </w:pPr>
      <w:r>
        <w:rPr>
          <w:rFonts w:hint="eastAsia"/>
        </w:rPr>
        <w:t>DB11/T</w:t>
      </w:r>
      <w:r>
        <w:t xml:space="preserve"> 2170  </w:t>
      </w:r>
      <w:r>
        <w:rPr>
          <w:rFonts w:hint="eastAsia"/>
        </w:rPr>
        <w:t>智慧</w:t>
      </w:r>
      <w:r>
        <w:t>城市</w:t>
      </w:r>
      <w:r>
        <w:rPr>
          <w:rFonts w:hint="eastAsia"/>
        </w:rPr>
        <w:t xml:space="preserve"> 实体</w:t>
      </w:r>
      <w:r>
        <w:t>时空标识编码规范</w:t>
      </w:r>
    </w:p>
    <w:p w14:paraId="3469DC18">
      <w:pPr>
        <w:pStyle w:val="60"/>
        <w:ind w:firstLine="420"/>
      </w:pPr>
      <w:r>
        <w:rPr>
          <w:rFonts w:hint="eastAsia"/>
        </w:rPr>
        <w:t>DB11/T</w:t>
      </w:r>
      <w:r>
        <w:t xml:space="preserve"> 2181  </w:t>
      </w:r>
      <w:r>
        <w:rPr>
          <w:rFonts w:hint="eastAsia"/>
        </w:rPr>
        <w:t>水务</w:t>
      </w:r>
      <w:r>
        <w:t>物联感知数据传输与接入技术导则</w:t>
      </w:r>
    </w:p>
    <w:p w14:paraId="052D5E79">
      <w:pPr>
        <w:pStyle w:val="108"/>
        <w:spacing w:before="312" w:after="312"/>
      </w:pPr>
      <w:bookmarkStart w:id="46" w:name="_Toc197508782"/>
      <w:r>
        <w:rPr>
          <w:rFonts w:hint="eastAsia"/>
          <w:szCs w:val="21"/>
        </w:rPr>
        <w:t>术语和定义</w:t>
      </w:r>
      <w:bookmarkEnd w:id="46"/>
    </w:p>
    <w:sdt>
      <w:sdtPr>
        <w:id w:val="-1909835108"/>
        <w:placeholder>
          <w:docPart w:val="D41021315688460F8BAE5C0BC51A0A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C920DD">
          <w:pPr>
            <w:pStyle w:val="60"/>
            <w:ind w:firstLine="420"/>
          </w:pPr>
          <w:bookmarkStart w:id="47" w:name="_Toc26986532"/>
          <w:bookmarkEnd w:id="47"/>
          <w:bookmarkStart w:id="48" w:name="OLE_LINK1"/>
          <w:r>
            <w:t>下列术语和定义适用于本文件。</w:t>
          </w:r>
        </w:p>
      </w:sdtContent>
    </w:sdt>
    <w:bookmarkEnd w:id="48"/>
    <w:p w14:paraId="14E44625">
      <w:pPr>
        <w:pStyle w:val="227"/>
        <w:ind w:left="420" w:hanging="420" w:hangingChars="200"/>
        <w:rPr>
          <w:rFonts w:ascii="黑体" w:hAnsi="黑体" w:eastAsia="黑体"/>
        </w:rPr>
      </w:pPr>
      <w:bookmarkStart w:id="49" w:name="_Toc92727921"/>
    </w:p>
    <w:p w14:paraId="7E231E36">
      <w:pPr>
        <w:pStyle w:val="60"/>
        <w:ind w:firstLine="420"/>
        <w:rPr>
          <w:rFonts w:ascii="黑体" w:hAnsi="黑体" w:eastAsia="黑体"/>
        </w:rPr>
      </w:pPr>
      <w:r>
        <w:rPr>
          <w:rFonts w:hint="eastAsia" w:ascii="黑体" w:hAnsi="黑体" w:eastAsia="黑体"/>
        </w:rPr>
        <w:t>北京城市码 Beijing city code</w:t>
      </w:r>
    </w:p>
    <w:p w14:paraId="3CE12A9A">
      <w:pPr>
        <w:pStyle w:val="60"/>
        <w:ind w:firstLine="420"/>
      </w:pPr>
      <w:r>
        <w:rPr>
          <w:rFonts w:hint="eastAsia"/>
        </w:rPr>
        <w:t>由统一的实体标识（包括统一身份标识、统一时空标识）和规范的图形化编码构成。实体标识包括个人、组织以及城市建筑、城市基础设施（含城市部件）、交通工具等各类实体的统一身份标识和时空标识。图形化编码为依托统一标识建立的城市二维码编码规则和采用注册授权机制管理的二维码，涵盖实体身份属性、业务属性和空间属性。</w:t>
      </w:r>
    </w:p>
    <w:p w14:paraId="427D141E">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水务码</w:t>
      </w:r>
      <w:r>
        <w:rPr>
          <w:rFonts w:ascii="黑体" w:hAnsi="黑体" w:eastAsia="黑体"/>
        </w:rPr>
        <w:t xml:space="preserve"> water code</w:t>
      </w:r>
    </w:p>
    <w:p w14:paraId="7A4805EE">
      <w:pPr>
        <w:pStyle w:val="60"/>
        <w:ind w:firstLine="420"/>
      </w:pPr>
      <w:r>
        <w:rPr>
          <w:rFonts w:hint="eastAsia"/>
        </w:rPr>
        <w:t>由统一的实体标识（包括统一身份标识、统一时空标识）和规范的图形化编码构成的水务领域城市码。实体标识包括水务运行与管理对象的统一身份标识和时空标识。图形化编码为融合水务实体身份属性、业务属性、空间属性并采用注册授权机制管理的水务二维码。</w:t>
      </w:r>
    </w:p>
    <w:p w14:paraId="3DE78AC1">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水务二维码编码总体范式</w:t>
      </w:r>
      <w:r>
        <w:rPr>
          <w:rFonts w:ascii="黑体" w:hAnsi="黑体" w:eastAsia="黑体"/>
        </w:rPr>
        <w:t xml:space="preserve"> normal form of quick response water code</w:t>
      </w:r>
    </w:p>
    <w:p w14:paraId="2F0F56B9">
      <w:pPr>
        <w:pStyle w:val="60"/>
        <w:ind w:firstLine="420"/>
      </w:pPr>
      <w:r>
        <w:rPr>
          <w:rFonts w:hint="eastAsia"/>
        </w:rPr>
        <w:t>对水务二维码</w:t>
      </w:r>
      <w:r>
        <w:t>的编码结构和</w:t>
      </w:r>
      <w:r>
        <w:rPr>
          <w:rFonts w:hint="eastAsia"/>
        </w:rPr>
        <w:t>内容作出</w:t>
      </w:r>
      <w:r>
        <w:t>的相关规范要求。</w:t>
      </w:r>
    </w:p>
    <w:p w14:paraId="7EF51FF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水务对象 </w:t>
      </w:r>
      <w:r>
        <w:rPr>
          <w:rFonts w:ascii="黑体" w:hAnsi="黑体" w:eastAsia="黑体"/>
        </w:rPr>
        <w:t>water objects</w:t>
      </w:r>
    </w:p>
    <w:p w14:paraId="1BA56A6C">
      <w:pPr>
        <w:pStyle w:val="60"/>
        <w:ind w:firstLine="420"/>
      </w:pPr>
      <w:r>
        <w:rPr>
          <w:rFonts w:hint="eastAsia"/>
        </w:rPr>
        <w:t>水事活动中所涉及的水行业范围内的管理实体。</w:t>
      </w:r>
    </w:p>
    <w:p w14:paraId="67F81D7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水务对象分类</w:t>
      </w:r>
      <w:r>
        <w:rPr>
          <w:rFonts w:ascii="黑体" w:hAnsi="黑体" w:eastAsia="黑体"/>
        </w:rPr>
        <w:t xml:space="preserve"> water objects classification</w:t>
      </w:r>
    </w:p>
    <w:p w14:paraId="6CEFFCA8">
      <w:pPr>
        <w:pStyle w:val="60"/>
        <w:ind w:firstLine="420"/>
      </w:pPr>
      <w:r>
        <w:rPr>
          <w:rFonts w:hint="eastAsia"/>
        </w:rPr>
        <w:t>将水务对象按若干属性或特征，依不重不漏的原则，逐次地分为大类、小类两个层级，每个层级又分为若干基类的方法。同一分支的同层级基类之间构成并列关系，不同层级类目之间构成隶属关系。</w:t>
      </w:r>
    </w:p>
    <w:p w14:paraId="1EDF434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水务对象编码</w:t>
      </w:r>
      <w:r>
        <w:rPr>
          <w:rFonts w:ascii="黑体" w:hAnsi="黑体" w:eastAsia="黑体"/>
        </w:rPr>
        <w:t xml:space="preserve"> encoded water objects</w:t>
      </w:r>
    </w:p>
    <w:p w14:paraId="58FCC5FE">
      <w:pPr>
        <w:pStyle w:val="60"/>
        <w:ind w:firstLine="420"/>
      </w:pPr>
      <w:r>
        <w:rPr>
          <w:rFonts w:hint="eastAsia"/>
        </w:rPr>
        <w:t>按照水务二维码编码总体</w:t>
      </w:r>
      <w:r>
        <w:t>范式</w:t>
      </w:r>
      <w:r>
        <w:rPr>
          <w:rFonts w:hint="eastAsia"/>
        </w:rPr>
        <w:t>，对水务对象进行编码赋值的过程。</w:t>
      </w:r>
    </w:p>
    <w:p w14:paraId="642A3F33">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水务对象代码</w:t>
      </w:r>
      <w:r>
        <w:rPr>
          <w:rFonts w:ascii="黑体" w:hAnsi="黑体" w:eastAsia="黑体"/>
        </w:rPr>
        <w:t xml:space="preserve"> water objects code</w:t>
      </w:r>
    </w:p>
    <w:p w14:paraId="259F79A9">
      <w:pPr>
        <w:pStyle w:val="60"/>
        <w:ind w:firstLine="420"/>
      </w:pPr>
      <w:r>
        <w:rPr>
          <w:rFonts w:hint="eastAsia"/>
        </w:rPr>
        <w:t>按照水务对象编码规则，在登记水务对象台账时，赋予水务对象的唯一标识ASCII码字符串。</w:t>
      </w:r>
    </w:p>
    <w:p w14:paraId="2F92242F">
      <w:pPr>
        <w:pStyle w:val="108"/>
        <w:spacing w:before="312" w:after="312"/>
      </w:pPr>
      <w:bookmarkStart w:id="50" w:name="_Toc197508783"/>
      <w:r>
        <w:t>编码</w:t>
      </w:r>
      <w:r>
        <w:rPr>
          <w:rFonts w:hint="eastAsia"/>
        </w:rPr>
        <w:t>原则</w:t>
      </w:r>
      <w:bookmarkEnd w:id="50"/>
    </w:p>
    <w:p w14:paraId="2CC99BED">
      <w:pPr>
        <w:pStyle w:val="109"/>
        <w:spacing w:before="156" w:after="156"/>
      </w:pPr>
      <w:bookmarkStart w:id="51" w:name="_Toc197508784"/>
      <w:r>
        <w:rPr>
          <w:rFonts w:hint="eastAsia"/>
        </w:rPr>
        <w:t>科学性</w:t>
      </w:r>
      <w:bookmarkEnd w:id="51"/>
    </w:p>
    <w:p w14:paraId="4754EEA2">
      <w:pPr>
        <w:pStyle w:val="247"/>
        <w:spacing w:line="240" w:lineRule="auto"/>
        <w:ind w:firstLine="420" w:firstLineChars="200"/>
      </w:pPr>
      <w:r>
        <w:rPr>
          <w:rFonts w:hint="eastAsia"/>
        </w:rPr>
        <w:t>选择水务对象本质属性或特征作为分类与编码的基础和依据，进行合理化编排，保证其规律性、适用性和规范性等。</w:t>
      </w:r>
    </w:p>
    <w:p w14:paraId="469AFC1C">
      <w:pPr>
        <w:pStyle w:val="109"/>
        <w:spacing w:before="156" w:after="156"/>
      </w:pPr>
      <w:bookmarkStart w:id="52" w:name="_Toc197508785"/>
      <w:r>
        <w:rPr>
          <w:rFonts w:hint="eastAsia"/>
        </w:rPr>
        <w:t>唯一性</w:t>
      </w:r>
      <w:bookmarkEnd w:id="52"/>
    </w:p>
    <w:p w14:paraId="546BFB56">
      <w:pPr>
        <w:pStyle w:val="60"/>
        <w:ind w:firstLine="420"/>
      </w:pPr>
      <w:bookmarkStart w:id="53" w:name="_Toc122018804"/>
      <w:bookmarkStart w:id="54" w:name="_Toc121734385"/>
      <w:bookmarkStart w:id="55" w:name="_Toc122018765"/>
      <w:r>
        <w:rPr>
          <w:rFonts w:hint="eastAsia"/>
        </w:rPr>
        <w:t>每个水务对象仅有一个代码，每个代码只标识一个水务对象。</w:t>
      </w:r>
    </w:p>
    <w:bookmarkEnd w:id="53"/>
    <w:bookmarkEnd w:id="54"/>
    <w:bookmarkEnd w:id="55"/>
    <w:p w14:paraId="6918F2F8">
      <w:pPr>
        <w:pStyle w:val="109"/>
        <w:spacing w:before="156" w:after="156"/>
      </w:pPr>
      <w:bookmarkStart w:id="56" w:name="_Toc197508786"/>
      <w:r>
        <w:rPr>
          <w:rFonts w:hint="eastAsia"/>
        </w:rPr>
        <w:t>系统性</w:t>
      </w:r>
      <w:bookmarkEnd w:id="56"/>
    </w:p>
    <w:p w14:paraId="10E35704">
      <w:pPr>
        <w:pStyle w:val="247"/>
        <w:spacing w:line="240" w:lineRule="auto"/>
        <w:ind w:firstLine="420" w:firstLineChars="200"/>
      </w:pPr>
      <w:r>
        <w:rPr>
          <w:rFonts w:hint="eastAsia"/>
        </w:rPr>
        <w:t>应保持不同对象分类间编码规则的协调，便于人工和计算机方便处理各种代码。</w:t>
      </w:r>
    </w:p>
    <w:p w14:paraId="0727C9C9">
      <w:pPr>
        <w:pStyle w:val="109"/>
        <w:spacing w:before="156" w:after="156"/>
      </w:pPr>
      <w:bookmarkStart w:id="57" w:name="_Toc197508787"/>
      <w:r>
        <w:rPr>
          <w:rFonts w:hint="eastAsia"/>
        </w:rPr>
        <w:t>扩展性</w:t>
      </w:r>
      <w:bookmarkEnd w:id="57"/>
    </w:p>
    <w:p w14:paraId="6833DF4C">
      <w:pPr>
        <w:pStyle w:val="60"/>
        <w:ind w:firstLine="420"/>
      </w:pPr>
      <w:r>
        <w:rPr>
          <w:rFonts w:hint="eastAsia"/>
        </w:rPr>
        <w:t>预留一定的编码空间，保证一定时期内同类对象能根据需要增加代码。</w:t>
      </w:r>
    </w:p>
    <w:p w14:paraId="430CEA1E">
      <w:pPr>
        <w:pStyle w:val="109"/>
        <w:spacing w:before="156" w:after="156"/>
      </w:pPr>
      <w:bookmarkStart w:id="58" w:name="_Toc197508788"/>
      <w:r>
        <w:rPr>
          <w:rFonts w:hint="eastAsia"/>
        </w:rPr>
        <w:t>稳定性</w:t>
      </w:r>
      <w:bookmarkEnd w:id="58"/>
    </w:p>
    <w:p w14:paraId="76434C1C">
      <w:pPr>
        <w:pStyle w:val="60"/>
        <w:ind w:firstLine="420"/>
      </w:pPr>
      <w:r>
        <w:rPr>
          <w:rFonts w:hint="eastAsia"/>
        </w:rPr>
        <w:t>应采用能唯一区分水务对象的最小属性特征集合作为其代码，减少基于多属性特征组合的编码，避免由于属性信息的变化或错误而导致的数据不一致或不同步问题。</w:t>
      </w:r>
    </w:p>
    <w:p w14:paraId="68B49010">
      <w:pPr>
        <w:pStyle w:val="109"/>
        <w:spacing w:before="156" w:after="156"/>
      </w:pPr>
      <w:bookmarkStart w:id="59" w:name="_Toc197508789"/>
      <w:r>
        <w:rPr>
          <w:rFonts w:hint="eastAsia"/>
        </w:rPr>
        <w:t>简约性</w:t>
      </w:r>
      <w:bookmarkEnd w:id="59"/>
    </w:p>
    <w:p w14:paraId="692BDD85">
      <w:pPr>
        <w:pStyle w:val="60"/>
        <w:ind w:firstLine="420"/>
      </w:pPr>
      <w:r>
        <w:rPr>
          <w:rFonts w:hint="eastAsia"/>
        </w:rPr>
        <w:t>应简化编码规则，保证相同特征的对象类编码规则的一致性，降低编码难度。</w:t>
      </w:r>
    </w:p>
    <w:p w14:paraId="1D27CF55">
      <w:pPr>
        <w:pStyle w:val="109"/>
        <w:spacing w:before="156" w:after="156"/>
      </w:pPr>
      <w:bookmarkStart w:id="60" w:name="_Toc197508790"/>
      <w:r>
        <w:rPr>
          <w:rFonts w:hint="eastAsia"/>
        </w:rPr>
        <w:t>延续性</w:t>
      </w:r>
      <w:bookmarkEnd w:id="60"/>
    </w:p>
    <w:p w14:paraId="77003DD9">
      <w:pPr>
        <w:pStyle w:val="60"/>
        <w:ind w:firstLine="420"/>
      </w:pPr>
      <w:r>
        <w:rPr>
          <w:rFonts w:hint="eastAsia"/>
        </w:rPr>
        <w:t>通过对现有水务对象编码的拆分和重构，形成新的编码，实现新旧编码的直接互转。</w:t>
      </w:r>
    </w:p>
    <w:p w14:paraId="4FC57D41">
      <w:pPr>
        <w:pStyle w:val="109"/>
        <w:spacing w:before="156" w:after="156"/>
      </w:pPr>
      <w:bookmarkStart w:id="61" w:name="_Toc197508791"/>
      <w:r>
        <w:rPr>
          <w:rFonts w:hint="eastAsia"/>
        </w:rPr>
        <w:t>时效性</w:t>
      </w:r>
      <w:bookmarkEnd w:id="61"/>
    </w:p>
    <w:p w14:paraId="7F1C56D8">
      <w:pPr>
        <w:pStyle w:val="60"/>
        <w:ind w:firstLine="420"/>
      </w:pPr>
      <w:r>
        <w:rPr>
          <w:rFonts w:hint="eastAsia"/>
        </w:rPr>
        <w:t>水务对象编码规则依据最新</w:t>
      </w:r>
      <w:r>
        <w:t>的</w:t>
      </w:r>
      <w:r>
        <w:rPr>
          <w:rFonts w:hint="eastAsia"/>
        </w:rPr>
        <w:t>国家标准、行业标准和地方标准制定，采用</w:t>
      </w:r>
      <w:r>
        <w:t>编码转换</w:t>
      </w:r>
      <w:r>
        <w:rPr>
          <w:rFonts w:hint="eastAsia"/>
        </w:rPr>
        <w:t>的</w:t>
      </w:r>
      <w:r>
        <w:t>方式以支持不同编码系统衔接</w:t>
      </w:r>
      <w:r>
        <w:rPr>
          <w:rFonts w:hint="eastAsia"/>
        </w:rPr>
        <w:t>。</w:t>
      </w:r>
    </w:p>
    <w:p w14:paraId="0CBB0CE1">
      <w:pPr>
        <w:pStyle w:val="108"/>
        <w:spacing w:before="312" w:after="312"/>
      </w:pPr>
      <w:bookmarkStart w:id="62" w:name="_Toc197508792"/>
      <w:r>
        <w:rPr>
          <w:rFonts w:hint="eastAsia"/>
        </w:rPr>
        <w:t>水务对象分类</w:t>
      </w:r>
      <w:bookmarkEnd w:id="62"/>
    </w:p>
    <w:p w14:paraId="7F97250E">
      <w:pPr>
        <w:pStyle w:val="109"/>
        <w:spacing w:before="156" w:after="156"/>
      </w:pPr>
      <w:bookmarkStart w:id="63" w:name="_Toc197508793"/>
      <w:r>
        <w:rPr>
          <w:rFonts w:hint="eastAsia"/>
        </w:rPr>
        <w:t>对象分类</w:t>
      </w:r>
      <w:bookmarkEnd w:id="63"/>
    </w:p>
    <w:p w14:paraId="3BF4ED22">
      <w:pPr>
        <w:pStyle w:val="247"/>
        <w:spacing w:line="240" w:lineRule="auto"/>
        <w:ind w:firstLine="420" w:firstLineChars="200"/>
      </w:pPr>
      <w:r>
        <w:rPr>
          <w:rFonts w:hint="eastAsia"/>
        </w:rPr>
        <w:t>水务对象分类依据SL/T 213等行业</w:t>
      </w:r>
      <w:r>
        <w:t>标准</w:t>
      </w:r>
      <w:r>
        <w:rPr>
          <w:rFonts w:hint="eastAsia"/>
        </w:rPr>
        <w:t>以及水务普查分类编码，</w:t>
      </w:r>
      <w:r>
        <w:t>共划分</w:t>
      </w:r>
      <w:r>
        <w:rPr>
          <w:rFonts w:hint="eastAsia"/>
        </w:rPr>
        <w:t>河流</w:t>
      </w:r>
      <w:r>
        <w:t>和湖泊、</w:t>
      </w:r>
      <w:r>
        <w:rPr>
          <w:rFonts w:hint="eastAsia"/>
        </w:rPr>
        <w:t>水利工程</w:t>
      </w:r>
      <w:r>
        <w:t>、测站、供水、排水、</w:t>
      </w:r>
      <w:r>
        <w:rPr>
          <w:rFonts w:hint="eastAsia"/>
        </w:rPr>
        <w:t>水土</w:t>
      </w:r>
      <w:r>
        <w:t>保持、水务物联感知</w:t>
      </w:r>
      <w:r>
        <w:rPr>
          <w:rFonts w:hint="eastAsia"/>
        </w:rPr>
        <w:t>、</w:t>
      </w:r>
      <w:r>
        <w:t>水文化遗产</w:t>
      </w:r>
      <w:r>
        <w:rPr>
          <w:rFonts w:hint="eastAsia"/>
        </w:rPr>
        <w:t>和</w:t>
      </w:r>
      <w:r>
        <w:t>水资源开发利用</w:t>
      </w:r>
      <w:r>
        <w:rPr>
          <w:rFonts w:hint="eastAsia"/>
        </w:rPr>
        <w:t>共9个</w:t>
      </w:r>
      <w:r>
        <w:t>基础大类</w:t>
      </w:r>
      <w:r>
        <w:rPr>
          <w:rFonts w:hint="eastAsia"/>
        </w:rPr>
        <w:t>。水务</w:t>
      </w:r>
      <w:r>
        <w:t>对象分类</w:t>
      </w:r>
      <w:r>
        <w:rPr>
          <w:rFonts w:hint="eastAsia"/>
        </w:rPr>
        <w:t>编码表详见附录A。</w:t>
      </w:r>
    </w:p>
    <w:p w14:paraId="369FDBF0">
      <w:pPr>
        <w:pStyle w:val="109"/>
        <w:spacing w:before="156" w:after="156"/>
      </w:pPr>
      <w:bookmarkStart w:id="64" w:name="_Toc197508794"/>
      <w:r>
        <w:rPr>
          <w:rFonts w:hint="eastAsia"/>
        </w:rPr>
        <w:t>分类补充说明</w:t>
      </w:r>
      <w:bookmarkEnd w:id="64"/>
    </w:p>
    <w:p w14:paraId="06979A25">
      <w:pPr>
        <w:pStyle w:val="247"/>
        <w:spacing w:line="240" w:lineRule="auto"/>
        <w:ind w:firstLine="420" w:firstLineChars="200"/>
      </w:pPr>
      <w:r>
        <w:rPr>
          <w:rFonts w:hint="eastAsia"/>
        </w:rPr>
        <w:t>本文件6 水务码实体标识规则</w:t>
      </w:r>
      <w:r>
        <w:t>主要解决水务对象基础大类和小类的编码问题，对于更细的子类编码需要根据水务</w:t>
      </w:r>
      <w:r>
        <w:rPr>
          <w:rFonts w:hint="eastAsia"/>
        </w:rPr>
        <w:t>实际</w:t>
      </w:r>
      <w:r>
        <w:t>运行与管理</w:t>
      </w:r>
      <w:r>
        <w:rPr>
          <w:rFonts w:hint="eastAsia"/>
        </w:rPr>
        <w:t>需求</w:t>
      </w:r>
      <w:r>
        <w:t>，</w:t>
      </w:r>
      <w:r>
        <w:rPr>
          <w:rFonts w:hint="eastAsia"/>
        </w:rPr>
        <w:t>参照本文件6 水务码实体标识规则制定水务对象子类编码规则的相关说明文件或补充要求。</w:t>
      </w:r>
    </w:p>
    <w:p w14:paraId="63E5A085">
      <w:pPr>
        <w:pStyle w:val="108"/>
        <w:spacing w:before="312" w:after="312"/>
      </w:pPr>
      <w:bookmarkStart w:id="65" w:name="_Toc197508795"/>
      <w:r>
        <w:rPr>
          <w:rFonts w:hint="eastAsia"/>
        </w:rPr>
        <w:t>水务码</w:t>
      </w:r>
      <w:r>
        <w:t>实体</w:t>
      </w:r>
      <w:r>
        <w:rPr>
          <w:rFonts w:hint="eastAsia"/>
        </w:rPr>
        <w:t>标识</w:t>
      </w:r>
      <w:r>
        <w:t>规则</w:t>
      </w:r>
      <w:bookmarkEnd w:id="65"/>
    </w:p>
    <w:p w14:paraId="4A1B64D1">
      <w:pPr>
        <w:pStyle w:val="109"/>
        <w:spacing w:before="156" w:after="156"/>
      </w:pPr>
      <w:bookmarkStart w:id="66" w:name="_Toc197508796"/>
      <w:r>
        <w:rPr>
          <w:rFonts w:hint="eastAsia"/>
        </w:rPr>
        <w:t>身份</w:t>
      </w:r>
      <w:r>
        <w:t>标识</w:t>
      </w:r>
      <w:bookmarkEnd w:id="66"/>
    </w:p>
    <w:p w14:paraId="534F5796">
      <w:pPr>
        <w:pStyle w:val="169"/>
      </w:pPr>
      <w:r>
        <w:rPr>
          <w:rFonts w:hint="eastAsia"/>
        </w:rPr>
        <w:t>水务</w:t>
      </w:r>
      <w:r>
        <w:t>对象身份</w:t>
      </w:r>
      <w:r>
        <w:rPr>
          <w:rFonts w:hint="eastAsia"/>
        </w:rPr>
        <w:t>标识</w:t>
      </w:r>
      <w:r>
        <w:t>是水务数据连接的基础，依托统一的水务对象身份标识可以建立统一的</w:t>
      </w:r>
      <w:r>
        <w:rPr>
          <w:rFonts w:hint="eastAsia"/>
        </w:rPr>
        <w:t>水务</w:t>
      </w:r>
      <w:r>
        <w:t>对象数据身份索引。身份标识包含统一的组织身份标识和统一的对象身份标识</w:t>
      </w:r>
      <w:r>
        <w:rPr>
          <w:rFonts w:hint="eastAsia"/>
        </w:rPr>
        <w:t>。</w:t>
      </w:r>
    </w:p>
    <w:p w14:paraId="3ADD01F1">
      <w:pPr>
        <w:pStyle w:val="169"/>
      </w:pPr>
      <w:r>
        <w:t>统一的</w:t>
      </w:r>
      <w:r>
        <w:rPr>
          <w:rFonts w:hint="eastAsia"/>
        </w:rPr>
        <w:t>组织</w:t>
      </w:r>
      <w:r>
        <w:t>身份标识</w:t>
      </w:r>
      <w:r>
        <w:rPr>
          <w:rFonts w:hint="eastAsia"/>
        </w:rPr>
        <w:t>应为</w:t>
      </w:r>
      <w:r>
        <w:rPr>
          <w:rFonts w:hint="eastAsia" w:hAnsi="宋体"/>
        </w:rPr>
        <w:t>管理</w:t>
      </w:r>
      <w:r>
        <w:rPr>
          <w:rFonts w:hAnsi="宋体"/>
        </w:rPr>
        <w:t>水务对象的</w:t>
      </w:r>
      <w:r>
        <w:rPr>
          <w:rFonts w:hint="eastAsia" w:hAnsi="宋体"/>
        </w:rPr>
        <w:t>各类组织的“统一社会信用代码”</w:t>
      </w:r>
      <w:r>
        <w:t>。</w:t>
      </w:r>
    </w:p>
    <w:p w14:paraId="7F67A395">
      <w:pPr>
        <w:pStyle w:val="169"/>
      </w:pPr>
      <w:r>
        <w:rPr>
          <w:rFonts w:hint="eastAsia"/>
        </w:rPr>
        <w:t>统一的对象身份标识按照7.3 水务码统一身份标识编码规则执行</w:t>
      </w:r>
      <w:r>
        <w:t>。</w:t>
      </w:r>
    </w:p>
    <w:p w14:paraId="107A0861">
      <w:pPr>
        <w:pStyle w:val="109"/>
        <w:spacing w:before="156" w:after="156"/>
      </w:pPr>
      <w:bookmarkStart w:id="67" w:name="_Toc197508797"/>
      <w:r>
        <w:rPr>
          <w:rFonts w:hint="eastAsia"/>
        </w:rPr>
        <w:t>时空</w:t>
      </w:r>
      <w:r>
        <w:t>标识</w:t>
      </w:r>
      <w:bookmarkEnd w:id="67"/>
    </w:p>
    <w:p w14:paraId="318B7549">
      <w:pPr>
        <w:pStyle w:val="169"/>
      </w:pPr>
      <w:r>
        <w:rPr>
          <w:rFonts w:hint="eastAsia"/>
        </w:rPr>
        <w:t>水务</w:t>
      </w:r>
      <w:r>
        <w:t>对象</w:t>
      </w:r>
      <w:r>
        <w:rPr>
          <w:rFonts w:hint="eastAsia"/>
        </w:rPr>
        <w:t>时空标识</w:t>
      </w:r>
      <w:r>
        <w:t>是全市水务对象空间联系和时间联系的基础</w:t>
      </w:r>
      <w:r>
        <w:rPr>
          <w:rFonts w:hint="eastAsia"/>
        </w:rPr>
        <w:t>，</w:t>
      </w:r>
      <w:r>
        <w:t>依托统一的时空标识可以建立全市统一的</w:t>
      </w:r>
      <w:r>
        <w:rPr>
          <w:rFonts w:hint="eastAsia"/>
        </w:rPr>
        <w:t>实体数据</w:t>
      </w:r>
      <w:r>
        <w:t>空间索引</w:t>
      </w:r>
      <w:r>
        <w:rPr>
          <w:rFonts w:hint="eastAsia"/>
        </w:rPr>
        <w:t>。</w:t>
      </w:r>
    </w:p>
    <w:p w14:paraId="79DA3CF3">
      <w:pPr>
        <w:pStyle w:val="169"/>
      </w:pPr>
      <w:r>
        <w:rPr>
          <w:rFonts w:hint="eastAsia"/>
        </w:rPr>
        <w:t>水务对象时空标识按</w:t>
      </w:r>
      <w:r>
        <w:t>DB11/T 2170执行。</w:t>
      </w:r>
    </w:p>
    <w:p w14:paraId="12E020DC">
      <w:pPr>
        <w:pStyle w:val="108"/>
        <w:spacing w:before="312" w:after="312"/>
      </w:pPr>
      <w:bookmarkStart w:id="68" w:name="_Toc197508798"/>
      <w:r>
        <w:rPr>
          <w:rFonts w:hint="eastAsia"/>
        </w:rPr>
        <w:t>水务</w:t>
      </w:r>
      <w:r>
        <w:t>码</w:t>
      </w:r>
      <w:r>
        <w:rPr>
          <w:rFonts w:hint="eastAsia"/>
        </w:rPr>
        <w:t>图形化编码规则</w:t>
      </w:r>
      <w:bookmarkEnd w:id="68"/>
    </w:p>
    <w:p w14:paraId="7F9AAB82">
      <w:pPr>
        <w:pStyle w:val="109"/>
        <w:spacing w:before="156" w:after="156"/>
      </w:pPr>
      <w:bookmarkStart w:id="69" w:name="_Toc197508799"/>
      <w:r>
        <w:rPr>
          <w:rFonts w:hint="eastAsia"/>
        </w:rPr>
        <w:t>一般规定</w:t>
      </w:r>
      <w:bookmarkEnd w:id="69"/>
    </w:p>
    <w:p w14:paraId="02495B8F">
      <w:pPr>
        <w:pStyle w:val="169"/>
      </w:pPr>
      <w:r>
        <w:rPr>
          <w:rFonts w:hint="eastAsia"/>
        </w:rPr>
        <w:t>水务二维码是水务码图形化</w:t>
      </w:r>
      <w:r>
        <w:t>编码的主要形式，是水务业务线上线下打通的链接渠道</w:t>
      </w:r>
      <w:r>
        <w:rPr>
          <w:rFonts w:hint="eastAsia"/>
        </w:rPr>
        <w:t>。</w:t>
      </w:r>
      <w:r>
        <w:t>规范水务二维码的编码结构和内容，</w:t>
      </w:r>
      <w:r>
        <w:rPr>
          <w:rFonts w:hint="eastAsia"/>
        </w:rPr>
        <w:t>以</w:t>
      </w:r>
      <w:r>
        <w:t>提升</w:t>
      </w:r>
      <w:r>
        <w:rPr>
          <w:rFonts w:hint="eastAsia"/>
        </w:rPr>
        <w:t>水务</w:t>
      </w:r>
      <w:r>
        <w:t>二维码的通用识别性。</w:t>
      </w:r>
    </w:p>
    <w:p w14:paraId="31DEDEE4">
      <w:pPr>
        <w:pStyle w:val="169"/>
      </w:pPr>
      <w:r>
        <w:rPr>
          <w:rFonts w:hint="eastAsia"/>
        </w:rPr>
        <w:t>本规则遵循城市码总体约束，依据</w:t>
      </w:r>
      <w:r>
        <w:t>SL/T 213</w:t>
      </w:r>
      <w:r>
        <w:rPr>
          <w:rFonts w:hint="eastAsia"/>
        </w:rPr>
        <w:t>有关</w:t>
      </w:r>
      <w:r>
        <w:t>水利对象分类</w:t>
      </w:r>
      <w:r>
        <w:rPr>
          <w:rFonts w:hint="eastAsia"/>
        </w:rPr>
        <w:t>及现状水务对象代码进行制定，用于指导水务运行与管理对象按照城市码要求进行编码。</w:t>
      </w:r>
    </w:p>
    <w:p w14:paraId="77EE8F99">
      <w:pPr>
        <w:pStyle w:val="169"/>
      </w:pPr>
      <w:r>
        <w:rPr>
          <w:rFonts w:hint="eastAsia"/>
        </w:rPr>
        <w:t>水务</w:t>
      </w:r>
      <w:r>
        <w:t>二维码以水务实体统一身份标识为编码基础，一个</w:t>
      </w:r>
      <w:r>
        <w:rPr>
          <w:rFonts w:hint="eastAsia"/>
        </w:rPr>
        <w:t>码</w:t>
      </w:r>
      <w:r>
        <w:t>对应唯一对象</w:t>
      </w:r>
      <w:r>
        <w:rPr>
          <w:rFonts w:hint="eastAsia"/>
        </w:rPr>
        <w:t>，</w:t>
      </w:r>
      <w:r>
        <w:t>同一二维码不得再次赋给其他水务实体使用。</w:t>
      </w:r>
    </w:p>
    <w:p w14:paraId="7E784FDE">
      <w:pPr>
        <w:pStyle w:val="109"/>
        <w:spacing w:before="156" w:after="156"/>
      </w:pPr>
      <w:bookmarkStart w:id="70" w:name="_Toc197508800"/>
      <w:r>
        <w:rPr>
          <w:rFonts w:hint="eastAsia"/>
        </w:rPr>
        <w:t>水务</w:t>
      </w:r>
      <w:r>
        <w:t>二维码</w:t>
      </w:r>
      <w:r>
        <w:rPr>
          <w:rFonts w:hint="eastAsia"/>
        </w:rPr>
        <w:t>编码总体范式</w:t>
      </w:r>
      <w:bookmarkEnd w:id="70"/>
    </w:p>
    <w:p w14:paraId="6F56D8E4">
      <w:pPr>
        <w:pStyle w:val="169"/>
      </w:pPr>
      <w:r>
        <w:rPr>
          <w:rFonts w:hint="eastAsia"/>
        </w:rPr>
        <w:t>在充分考虑科学性、唯一性、延续性等原则基础上，按照城市码的编码总体范式，对</w:t>
      </w:r>
      <w:r>
        <w:t>水务二维码的编码结构</w:t>
      </w:r>
      <w:r>
        <w:rPr>
          <w:rFonts w:hint="eastAsia"/>
        </w:rPr>
        <w:t>和</w:t>
      </w:r>
      <w:r>
        <w:t>内容进行规范</w:t>
      </w:r>
      <w:r>
        <w:rPr>
          <w:rFonts w:hint="eastAsia"/>
        </w:rPr>
        <w:t>。</w:t>
      </w:r>
    </w:p>
    <w:p w14:paraId="36590B8B">
      <w:pPr>
        <w:pStyle w:val="169"/>
      </w:pPr>
      <w:r>
        <w:rPr>
          <w:rFonts w:hint="eastAsia"/>
        </w:rPr>
        <w:t>水务二维</w:t>
      </w:r>
      <w:r>
        <w:rPr>
          <w:rFonts w:hint="eastAsia" w:hAnsi="宋体"/>
        </w:rPr>
        <w:t>码</w:t>
      </w:r>
      <w:r>
        <w:rPr>
          <w:rFonts w:hAnsi="宋体"/>
        </w:rPr>
        <w:t>遵循城市码</w:t>
      </w:r>
      <w:r>
        <w:rPr>
          <w:rFonts w:hint="eastAsia" w:hAnsi="宋体"/>
        </w:rPr>
        <w:t>的编码</w:t>
      </w:r>
      <w:r>
        <w:rPr>
          <w:rFonts w:hAnsi="宋体"/>
        </w:rPr>
        <w:t>结构</w:t>
      </w:r>
      <w:r>
        <w:rPr>
          <w:rFonts w:hint="eastAsia" w:hAnsi="宋体"/>
        </w:rPr>
        <w:t>，即</w:t>
      </w:r>
      <w:r>
        <w:rPr>
          <w:rFonts w:hAnsi="宋体"/>
        </w:rPr>
        <w:t>“</w:t>
      </w:r>
      <w:r>
        <w:rPr>
          <w:rFonts w:hint="eastAsia" w:hAnsi="宋体"/>
        </w:rPr>
        <w:t>市级标准域（引导子域＋标准子域，9</w:t>
      </w:r>
      <w:r>
        <w:rPr>
          <w:rFonts w:hAnsi="宋体"/>
        </w:rPr>
        <w:t>7位</w:t>
      </w:r>
      <w:r>
        <w:rPr>
          <w:rFonts w:hint="eastAsia" w:hAnsi="宋体"/>
        </w:rPr>
        <w:t>）＋部门扩展域（2</w:t>
      </w:r>
      <w:r>
        <w:rPr>
          <w:rFonts w:hAnsi="宋体"/>
        </w:rPr>
        <w:t>01位）</w:t>
      </w:r>
      <w:r>
        <w:rPr>
          <w:rFonts w:hint="eastAsia" w:hAnsi="宋体"/>
        </w:rPr>
        <w:t>＋安全信息域（8</w:t>
      </w:r>
      <w:r>
        <w:rPr>
          <w:rFonts w:hAnsi="宋体"/>
        </w:rPr>
        <w:t>5位</w:t>
      </w:r>
      <w:r>
        <w:rPr>
          <w:rFonts w:hint="eastAsia" w:hAnsi="宋体"/>
        </w:rPr>
        <w:t>）”，详见</w:t>
      </w:r>
      <w:r>
        <w:rPr>
          <w:rFonts w:hAnsi="宋体"/>
        </w:rPr>
        <w:t>图</w:t>
      </w:r>
      <w:r>
        <w:rPr>
          <w:rFonts w:hint="eastAsia" w:hAnsi="宋体"/>
        </w:rPr>
        <w:t>1。并规定以下</w:t>
      </w:r>
      <w:r>
        <w:rPr>
          <w:rFonts w:hAnsi="宋体"/>
        </w:rPr>
        <w:t>内容：</w:t>
      </w:r>
    </w:p>
    <w:p w14:paraId="4433C9CE">
      <w:pPr>
        <w:pStyle w:val="178"/>
      </w:pPr>
      <w:r>
        <w:rPr>
          <w:rFonts w:hint="eastAsia"/>
        </w:rPr>
        <w:t>引导子域：</w:t>
      </w:r>
      <w:r>
        <w:fldChar w:fldCharType="begin"/>
      </w:r>
      <w:r>
        <w:instrText xml:space="preserve"> HYPERLINK "https://www.smart.swj.beijing.gov.cn/swjqr/?xxx&amp;BJQR" </w:instrText>
      </w:r>
      <w:r>
        <w:fldChar w:fldCharType="separate"/>
      </w:r>
      <w:r>
        <w:rPr>
          <w:rStyle w:val="35"/>
          <w:rFonts w:hint="eastAsia"/>
        </w:rPr>
        <w:t>https://www.smart.swj.beijing.gov.cn/swjqr/?xxx&amp;BJQR</w:t>
      </w:r>
      <w:r>
        <w:rPr>
          <w:rStyle w:val="35"/>
          <w:rFonts w:hint="eastAsia"/>
        </w:rPr>
        <w:fldChar w:fldCharType="end"/>
      </w:r>
      <w:r>
        <w:rPr>
          <w:rFonts w:hint="eastAsia"/>
        </w:rPr>
        <w:t>=；</w:t>
      </w:r>
    </w:p>
    <w:p w14:paraId="02CEDB5F">
      <w:pPr>
        <w:pStyle w:val="178"/>
      </w:pPr>
      <w:r>
        <w:rPr>
          <w:rFonts w:hint="eastAsia"/>
        </w:rPr>
        <w:t>码标识体系</w:t>
      </w:r>
      <w:r>
        <w:t>：</w:t>
      </w:r>
      <w:r>
        <w:rPr>
          <w:rFonts w:hint="eastAsia"/>
        </w:rPr>
        <w:t>BJ</w:t>
      </w:r>
      <w:r>
        <w:t>ID；</w:t>
      </w:r>
    </w:p>
    <w:p w14:paraId="5233E663">
      <w:pPr>
        <w:pStyle w:val="178"/>
      </w:pPr>
      <w:r>
        <w:rPr>
          <w:rFonts w:hint="eastAsia"/>
        </w:rPr>
        <w:t>码</w:t>
      </w:r>
      <w:r>
        <w:t>授权标识：</w:t>
      </w:r>
      <w:r>
        <w:rPr>
          <w:rFonts w:hint="eastAsia"/>
        </w:rPr>
        <w:t>BJSW；</w:t>
      </w:r>
    </w:p>
    <w:p w14:paraId="124D5338">
      <w:pPr>
        <w:pStyle w:val="178"/>
      </w:pPr>
      <w:r>
        <w:rPr>
          <w:rFonts w:hint="eastAsia"/>
        </w:rPr>
        <w:t>码属性</w:t>
      </w:r>
      <w:r>
        <w:t>标识：</w:t>
      </w:r>
      <w:r>
        <w:rPr>
          <w:rFonts w:hint="eastAsia"/>
        </w:rPr>
        <w:t>C302；</w:t>
      </w:r>
    </w:p>
    <w:p w14:paraId="1252CEAE">
      <w:pPr>
        <w:pStyle w:val="178"/>
      </w:pPr>
      <w:r>
        <w:rPr>
          <w:rFonts w:hint="eastAsia"/>
        </w:rPr>
        <w:t>码身份</w:t>
      </w:r>
      <w:r>
        <w:t>字段：</w:t>
      </w:r>
      <w:r>
        <w:rPr>
          <w:rFonts w:hint="eastAsia"/>
        </w:rPr>
        <w:t>“码身份</w:t>
      </w:r>
      <w:r>
        <w:t>字段</w:t>
      </w:r>
      <w:r>
        <w:rPr>
          <w:rFonts w:hint="eastAsia"/>
        </w:rPr>
        <w:t>-类型”直接</w:t>
      </w:r>
      <w:r>
        <w:t>抽取</w:t>
      </w:r>
      <w:r>
        <w:rPr>
          <w:rFonts w:hint="eastAsia"/>
        </w:rPr>
        <w:t>“码身份</w:t>
      </w:r>
      <w:r>
        <w:t>字段</w:t>
      </w:r>
      <w:r>
        <w:rPr>
          <w:rFonts w:hint="eastAsia"/>
        </w:rPr>
        <w:t>-身份</w:t>
      </w:r>
      <w:r>
        <w:t>标识</w:t>
      </w:r>
      <w:r>
        <w:rPr>
          <w:rFonts w:hint="eastAsia"/>
        </w:rPr>
        <w:t>”</w:t>
      </w:r>
      <w:r>
        <w:t>中的6</w:t>
      </w:r>
      <w:r>
        <w:rPr>
          <w:rFonts w:hint="eastAsia"/>
        </w:rPr>
        <w:t>位对象</w:t>
      </w:r>
      <w:r>
        <w:t>分类代码，</w:t>
      </w:r>
      <w:r>
        <w:rPr>
          <w:rFonts w:hint="eastAsia"/>
        </w:rPr>
        <w:t>“码身份</w:t>
      </w:r>
      <w:r>
        <w:t>字段</w:t>
      </w:r>
      <w:r>
        <w:rPr>
          <w:rFonts w:hint="eastAsia"/>
        </w:rPr>
        <w:t>-长度”</w:t>
      </w:r>
      <w:r>
        <w:t>固定为</w:t>
      </w:r>
      <w:r>
        <w:rPr>
          <w:rFonts w:hint="eastAsia"/>
        </w:rPr>
        <w:t>“32”，“</w:t>
      </w:r>
      <w:r>
        <w:t>码身份字段</w:t>
      </w:r>
      <w:r>
        <w:rPr>
          <w:rFonts w:hint="eastAsia"/>
        </w:rPr>
        <w:t>-身份</w:t>
      </w:r>
      <w:r>
        <w:t>标识</w:t>
      </w:r>
      <w:r>
        <w:rPr>
          <w:rFonts w:hint="eastAsia"/>
        </w:rPr>
        <w:t>”</w:t>
      </w:r>
      <w:r>
        <w:t>参照</w:t>
      </w:r>
      <w:r>
        <w:rPr>
          <w:rFonts w:hint="eastAsia"/>
        </w:rPr>
        <w:t>“7.3　水务码统一身份标识编码规则”制定；</w:t>
      </w:r>
      <w:r>
        <w:t xml:space="preserve"> </w:t>
      </w:r>
    </w:p>
    <w:p w14:paraId="09A9A740">
      <w:pPr>
        <w:pStyle w:val="178"/>
      </w:pPr>
      <w:r>
        <w:rPr>
          <w:rFonts w:hint="eastAsia"/>
        </w:rPr>
        <w:t>部门</w:t>
      </w:r>
      <w:r>
        <w:t>扩展域：</w:t>
      </w:r>
      <w:r>
        <w:rPr>
          <w:rFonts w:hint="eastAsia"/>
        </w:rPr>
        <w:t>原则上不进行</w:t>
      </w:r>
      <w:r>
        <w:t>拓展域编码，拓展</w:t>
      </w:r>
      <w:r>
        <w:rPr>
          <w:rFonts w:hint="eastAsia"/>
        </w:rPr>
        <w:t>域</w:t>
      </w:r>
      <w:r>
        <w:t>长度置为</w:t>
      </w:r>
      <w:r>
        <w:rPr>
          <w:rFonts w:hint="eastAsia"/>
        </w:rPr>
        <w:t>0，</w:t>
      </w:r>
      <w:r>
        <w:t>不再设置扩展信息标识</w:t>
      </w:r>
      <w:r>
        <w:rPr>
          <w:rFonts w:hint="eastAsia"/>
        </w:rPr>
        <w:t>；如水务对象子类编码涉及到32位水务码编码长度不足问题，可启用北京城市码中的部门扩展域，部门扩展域根据业务</w:t>
      </w:r>
      <w:r>
        <w:t>管理</w:t>
      </w:r>
      <w:r>
        <w:rPr>
          <w:rFonts w:hint="eastAsia"/>
        </w:rPr>
        <w:t>实际需要可自行定义使用；</w:t>
      </w:r>
    </w:p>
    <w:p w14:paraId="2C992495">
      <w:pPr>
        <w:pStyle w:val="178"/>
      </w:pPr>
      <w:r>
        <w:rPr>
          <w:rFonts w:hint="eastAsia"/>
        </w:rPr>
        <w:t>安全信息域</w:t>
      </w:r>
      <w:r>
        <w:t>：</w:t>
      </w:r>
      <w:r>
        <w:rPr>
          <w:rFonts w:hint="eastAsia"/>
        </w:rPr>
        <w:t>由</w:t>
      </w:r>
      <w:r>
        <w:t>城市码平台自动生成。</w:t>
      </w:r>
    </w:p>
    <w:p w14:paraId="7D32629B">
      <w:pPr>
        <w:pStyle w:val="178"/>
        <w:numPr>
          <w:ilvl w:val="0"/>
          <w:numId w:val="0"/>
        </w:numPr>
        <w:jc w:val="center"/>
      </w:pPr>
      <w:r>
        <w:drawing>
          <wp:inline distT="0" distB="0" distL="0" distR="0">
            <wp:extent cx="5902960" cy="7442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14666" cy="771067"/>
                    </a:xfrm>
                    <a:prstGeom prst="rect">
                      <a:avLst/>
                    </a:prstGeom>
                    <a:noFill/>
                  </pic:spPr>
                </pic:pic>
              </a:graphicData>
            </a:graphic>
          </wp:inline>
        </w:drawing>
      </w:r>
    </w:p>
    <w:p w14:paraId="2E8B55D5">
      <w:pPr>
        <w:pStyle w:val="118"/>
        <w:spacing w:before="156" w:after="156"/>
      </w:pPr>
      <w:r>
        <w:rPr>
          <w:rFonts w:hint="eastAsia"/>
        </w:rPr>
        <w:t>水务</w:t>
      </w:r>
      <w:r>
        <w:t>二维码</w:t>
      </w:r>
      <w:r>
        <w:rPr>
          <w:rFonts w:hint="eastAsia"/>
        </w:rPr>
        <w:t>编码总体范式</w:t>
      </w:r>
    </w:p>
    <w:p w14:paraId="5C02B0DC">
      <w:pPr>
        <w:pStyle w:val="109"/>
        <w:spacing w:before="156" w:after="156"/>
      </w:pPr>
      <w:bookmarkStart w:id="71" w:name="_Toc197508801"/>
      <w:r>
        <w:rPr>
          <w:rFonts w:hint="eastAsia"/>
        </w:rPr>
        <w:t>水务码统一身份</w:t>
      </w:r>
      <w:r>
        <w:t>标识编码规则</w:t>
      </w:r>
      <w:bookmarkEnd w:id="71"/>
    </w:p>
    <w:p w14:paraId="62F3CECC">
      <w:pPr>
        <w:pStyle w:val="169"/>
      </w:pPr>
      <w:r>
        <w:rPr>
          <w:rFonts w:hint="eastAsia"/>
        </w:rPr>
        <w:t>水务码统一身份标识代码</w:t>
      </w:r>
      <w:r>
        <w:t>长度为32位，</w:t>
      </w:r>
      <w:r>
        <w:rPr>
          <w:rFonts w:hint="eastAsia"/>
        </w:rPr>
        <w:t>身份</w:t>
      </w:r>
      <w:r>
        <w:t>标识</w:t>
      </w:r>
      <w:r>
        <w:rPr>
          <w:rFonts w:hint="eastAsia"/>
        </w:rPr>
        <w:t>代码</w:t>
      </w:r>
      <w:r>
        <w:t>由5个部分组成，</w:t>
      </w:r>
      <w:r>
        <w:rPr>
          <w:rFonts w:hint="eastAsia"/>
        </w:rPr>
        <w:t>包括</w:t>
      </w:r>
      <w:r>
        <w:t>对象</w:t>
      </w:r>
      <w:r>
        <w:rPr>
          <w:rFonts w:hint="eastAsia"/>
        </w:rPr>
        <w:t>分类代码</w:t>
      </w:r>
      <w:r>
        <w:t>、长度</w:t>
      </w:r>
      <w:r>
        <w:rPr>
          <w:rFonts w:hint="eastAsia"/>
        </w:rPr>
        <w:t>代码</w:t>
      </w:r>
      <w:r>
        <w:t>、行政区划代码、流域代码和身份代码</w:t>
      </w:r>
      <w:r>
        <w:rPr>
          <w:rFonts w:hint="eastAsia"/>
        </w:rPr>
        <w:t>，</w:t>
      </w:r>
      <w:r>
        <w:t>详见图</w:t>
      </w:r>
      <w:r>
        <w:rPr>
          <w:rFonts w:hint="eastAsia"/>
        </w:rPr>
        <w:t>2。</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258"/>
        <w:gridCol w:w="258"/>
        <w:gridCol w:w="258"/>
        <w:gridCol w:w="258"/>
        <w:gridCol w:w="258"/>
        <w:gridCol w:w="258"/>
        <w:gridCol w:w="300"/>
        <w:gridCol w:w="258"/>
        <w:gridCol w:w="258"/>
        <w:gridCol w:w="300"/>
        <w:gridCol w:w="296"/>
        <w:gridCol w:w="300"/>
        <w:gridCol w:w="300"/>
        <w:gridCol w:w="300"/>
        <w:gridCol w:w="300"/>
        <w:gridCol w:w="300"/>
        <w:gridCol w:w="300"/>
        <w:gridCol w:w="300"/>
        <w:gridCol w:w="300"/>
        <w:gridCol w:w="300"/>
        <w:gridCol w:w="300"/>
        <w:gridCol w:w="300"/>
        <w:gridCol w:w="300"/>
        <w:gridCol w:w="301"/>
        <w:gridCol w:w="301"/>
        <w:gridCol w:w="301"/>
        <w:gridCol w:w="301"/>
        <w:gridCol w:w="301"/>
        <w:gridCol w:w="301"/>
        <w:gridCol w:w="301"/>
        <w:gridCol w:w="301"/>
        <w:gridCol w:w="301"/>
      </w:tblGrid>
      <w:tr w14:paraId="7483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14042B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135" w:type="pct"/>
            <w:vAlign w:val="center"/>
          </w:tcPr>
          <w:p w14:paraId="057676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135" w:type="pct"/>
            <w:vAlign w:val="center"/>
          </w:tcPr>
          <w:p w14:paraId="0729FCE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135" w:type="pct"/>
            <w:vAlign w:val="center"/>
          </w:tcPr>
          <w:p w14:paraId="1809DC1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135" w:type="pct"/>
            <w:vAlign w:val="center"/>
          </w:tcPr>
          <w:p w14:paraId="214FBB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135" w:type="pct"/>
            <w:vAlign w:val="center"/>
          </w:tcPr>
          <w:p w14:paraId="2D37220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135" w:type="pct"/>
            <w:vAlign w:val="center"/>
          </w:tcPr>
          <w:p w14:paraId="1384FBA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156" w:type="pct"/>
            <w:shd w:val="clear" w:color="auto" w:fill="E7E6E6" w:themeFill="background2"/>
            <w:vAlign w:val="center"/>
          </w:tcPr>
          <w:p w14:paraId="5B14EBD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136" w:type="pct"/>
            <w:vAlign w:val="center"/>
          </w:tcPr>
          <w:p w14:paraId="32DB7AD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136" w:type="pct"/>
            <w:vAlign w:val="center"/>
          </w:tcPr>
          <w:p w14:paraId="3A033B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157" w:type="pct"/>
            <w:vAlign w:val="center"/>
          </w:tcPr>
          <w:p w14:paraId="166F547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154" w:type="pct"/>
            <w:vAlign w:val="center"/>
          </w:tcPr>
          <w:p w14:paraId="7E0F534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157" w:type="pct"/>
            <w:vAlign w:val="center"/>
          </w:tcPr>
          <w:p w14:paraId="05528D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157" w:type="pct"/>
            <w:vAlign w:val="center"/>
          </w:tcPr>
          <w:p w14:paraId="06C42DF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157" w:type="pct"/>
            <w:vAlign w:val="center"/>
          </w:tcPr>
          <w:p w14:paraId="6106E4B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157" w:type="pct"/>
            <w:vAlign w:val="center"/>
          </w:tcPr>
          <w:p w14:paraId="696DC29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157" w:type="pct"/>
            <w:vAlign w:val="center"/>
          </w:tcPr>
          <w:p w14:paraId="52CF51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157" w:type="pct"/>
            <w:shd w:val="clear" w:color="auto" w:fill="E7E6E6" w:themeFill="background2"/>
            <w:vAlign w:val="center"/>
          </w:tcPr>
          <w:p w14:paraId="6B7902F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157" w:type="pct"/>
            <w:shd w:val="clear" w:color="auto" w:fill="E7E6E6" w:themeFill="background2"/>
            <w:vAlign w:val="center"/>
          </w:tcPr>
          <w:p w14:paraId="7E6EA0C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157" w:type="pct"/>
            <w:vAlign w:val="center"/>
          </w:tcPr>
          <w:p w14:paraId="516877F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157" w:type="pct"/>
            <w:vAlign w:val="center"/>
          </w:tcPr>
          <w:p w14:paraId="20DA289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157" w:type="pct"/>
            <w:vAlign w:val="center"/>
          </w:tcPr>
          <w:p w14:paraId="3444122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157" w:type="pct"/>
            <w:vAlign w:val="center"/>
          </w:tcPr>
          <w:p w14:paraId="27A050A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157" w:type="pct"/>
            <w:vAlign w:val="center"/>
          </w:tcPr>
          <w:p w14:paraId="70778C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157" w:type="pct"/>
            <w:vAlign w:val="center"/>
          </w:tcPr>
          <w:p w14:paraId="2ED4F4C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157" w:type="pct"/>
            <w:vAlign w:val="center"/>
          </w:tcPr>
          <w:p w14:paraId="6C270CB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157" w:type="pct"/>
            <w:vAlign w:val="center"/>
          </w:tcPr>
          <w:p w14:paraId="51846B9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157" w:type="pct"/>
            <w:vAlign w:val="center"/>
          </w:tcPr>
          <w:p w14:paraId="076FC2D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157" w:type="pct"/>
            <w:vAlign w:val="center"/>
          </w:tcPr>
          <w:p w14:paraId="2B55504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157" w:type="pct"/>
            <w:vAlign w:val="center"/>
          </w:tcPr>
          <w:p w14:paraId="0E01B40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157" w:type="pct"/>
            <w:vAlign w:val="center"/>
          </w:tcPr>
          <w:p w14:paraId="1465533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157" w:type="pct"/>
            <w:vAlign w:val="center"/>
          </w:tcPr>
          <w:p w14:paraId="09AA388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157" w:type="pct"/>
            <w:vAlign w:val="center"/>
          </w:tcPr>
          <w:p w14:paraId="319A010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DAA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2D7AB97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135" w:type="pct"/>
            <w:vAlign w:val="center"/>
          </w:tcPr>
          <w:p w14:paraId="1BFD8AA5">
            <w:pPr>
              <w:topLinePunct/>
              <w:snapToGrid w:val="0"/>
              <w:spacing w:line="240" w:lineRule="auto"/>
              <w:jc w:val="center"/>
              <w:textAlignment w:val="center"/>
              <w:rPr>
                <w:rFonts w:ascii="Times New Roman" w:hAnsi="Times New Roman"/>
                <w:sz w:val="15"/>
                <w:szCs w:val="15"/>
              </w:rPr>
            </w:pPr>
          </w:p>
        </w:tc>
        <w:tc>
          <w:tcPr>
            <w:tcW w:w="135" w:type="pct"/>
            <w:vAlign w:val="center"/>
          </w:tcPr>
          <w:p w14:paraId="588B5AB9">
            <w:pPr>
              <w:topLinePunct/>
              <w:snapToGrid w:val="0"/>
              <w:spacing w:line="240" w:lineRule="auto"/>
              <w:jc w:val="center"/>
              <w:textAlignment w:val="center"/>
              <w:rPr>
                <w:rFonts w:ascii="Times New Roman" w:hAnsi="Times New Roman"/>
                <w:sz w:val="15"/>
                <w:szCs w:val="15"/>
              </w:rPr>
            </w:pPr>
          </w:p>
        </w:tc>
        <w:tc>
          <w:tcPr>
            <w:tcW w:w="135" w:type="pct"/>
            <w:vAlign w:val="center"/>
          </w:tcPr>
          <w:p w14:paraId="0E7BDDDF">
            <w:pPr>
              <w:topLinePunct/>
              <w:snapToGrid w:val="0"/>
              <w:spacing w:line="240" w:lineRule="auto"/>
              <w:jc w:val="center"/>
              <w:textAlignment w:val="center"/>
              <w:rPr>
                <w:rFonts w:ascii="Times New Roman" w:hAnsi="Times New Roman"/>
                <w:sz w:val="15"/>
                <w:szCs w:val="15"/>
              </w:rPr>
            </w:pPr>
          </w:p>
        </w:tc>
        <w:tc>
          <w:tcPr>
            <w:tcW w:w="135" w:type="pct"/>
            <w:vAlign w:val="center"/>
          </w:tcPr>
          <w:p w14:paraId="1BC3F59C">
            <w:pPr>
              <w:topLinePunct/>
              <w:snapToGrid w:val="0"/>
              <w:spacing w:line="240" w:lineRule="auto"/>
              <w:jc w:val="center"/>
              <w:textAlignment w:val="center"/>
              <w:rPr>
                <w:rFonts w:ascii="Times New Roman" w:hAnsi="Times New Roman"/>
                <w:sz w:val="15"/>
                <w:szCs w:val="15"/>
              </w:rPr>
            </w:pPr>
          </w:p>
        </w:tc>
        <w:tc>
          <w:tcPr>
            <w:tcW w:w="135" w:type="pct"/>
            <w:vAlign w:val="center"/>
          </w:tcPr>
          <w:p w14:paraId="184BAA44">
            <w:pPr>
              <w:topLinePunct/>
              <w:snapToGrid w:val="0"/>
              <w:spacing w:line="240" w:lineRule="auto"/>
              <w:jc w:val="center"/>
              <w:textAlignment w:val="center"/>
              <w:rPr>
                <w:rFonts w:ascii="Times New Roman" w:hAnsi="Times New Roman"/>
                <w:sz w:val="15"/>
                <w:szCs w:val="15"/>
              </w:rPr>
            </w:pPr>
          </w:p>
        </w:tc>
        <w:tc>
          <w:tcPr>
            <w:tcW w:w="135" w:type="pct"/>
            <w:vAlign w:val="center"/>
          </w:tcPr>
          <w:p w14:paraId="3E858640">
            <w:pPr>
              <w:topLinePunct/>
              <w:snapToGrid w:val="0"/>
              <w:spacing w:line="240" w:lineRule="auto"/>
              <w:jc w:val="center"/>
              <w:textAlignment w:val="center"/>
              <w:rPr>
                <w:rFonts w:ascii="Times New Roman" w:hAnsi="Times New Roman"/>
                <w:sz w:val="15"/>
                <w:szCs w:val="15"/>
              </w:rPr>
            </w:pPr>
          </w:p>
        </w:tc>
        <w:tc>
          <w:tcPr>
            <w:tcW w:w="156" w:type="pct"/>
            <w:shd w:val="clear" w:color="auto" w:fill="E7E6E6" w:themeFill="background2"/>
            <w:vAlign w:val="center"/>
          </w:tcPr>
          <w:p w14:paraId="20E36CED">
            <w:pPr>
              <w:topLinePunct/>
              <w:snapToGrid w:val="0"/>
              <w:spacing w:line="240" w:lineRule="auto"/>
              <w:jc w:val="center"/>
              <w:textAlignment w:val="center"/>
              <w:rPr>
                <w:rFonts w:ascii="Times New Roman" w:hAnsi="Times New Roman"/>
                <w:sz w:val="15"/>
                <w:szCs w:val="15"/>
              </w:rPr>
            </w:pPr>
          </w:p>
        </w:tc>
        <w:tc>
          <w:tcPr>
            <w:tcW w:w="136" w:type="pct"/>
            <w:vAlign w:val="center"/>
          </w:tcPr>
          <w:p w14:paraId="71C0BB9E">
            <w:pPr>
              <w:topLinePunct/>
              <w:snapToGrid w:val="0"/>
              <w:spacing w:line="240" w:lineRule="auto"/>
              <w:jc w:val="center"/>
              <w:textAlignment w:val="center"/>
              <w:rPr>
                <w:rFonts w:ascii="Times New Roman" w:hAnsi="Times New Roman"/>
                <w:sz w:val="15"/>
                <w:szCs w:val="15"/>
              </w:rPr>
            </w:pPr>
          </w:p>
        </w:tc>
        <w:tc>
          <w:tcPr>
            <w:tcW w:w="136" w:type="pct"/>
            <w:vAlign w:val="center"/>
          </w:tcPr>
          <w:p w14:paraId="0F10B862">
            <w:pPr>
              <w:topLinePunct/>
              <w:snapToGrid w:val="0"/>
              <w:spacing w:line="240" w:lineRule="auto"/>
              <w:jc w:val="center"/>
              <w:textAlignment w:val="center"/>
              <w:rPr>
                <w:rFonts w:ascii="Times New Roman" w:hAnsi="Times New Roman"/>
                <w:sz w:val="15"/>
                <w:szCs w:val="15"/>
              </w:rPr>
            </w:pPr>
          </w:p>
        </w:tc>
        <w:tc>
          <w:tcPr>
            <w:tcW w:w="157" w:type="pct"/>
            <w:vAlign w:val="center"/>
          </w:tcPr>
          <w:p w14:paraId="0054ABFB">
            <w:pPr>
              <w:topLinePunct/>
              <w:snapToGrid w:val="0"/>
              <w:spacing w:line="240" w:lineRule="auto"/>
              <w:jc w:val="center"/>
              <w:textAlignment w:val="center"/>
              <w:rPr>
                <w:rFonts w:ascii="Times New Roman" w:hAnsi="Times New Roman"/>
                <w:sz w:val="15"/>
                <w:szCs w:val="15"/>
              </w:rPr>
            </w:pPr>
          </w:p>
        </w:tc>
        <w:tc>
          <w:tcPr>
            <w:tcW w:w="154" w:type="pct"/>
            <w:vAlign w:val="center"/>
          </w:tcPr>
          <w:p w14:paraId="7A8BD22D">
            <w:pPr>
              <w:topLinePunct/>
              <w:snapToGrid w:val="0"/>
              <w:spacing w:line="240" w:lineRule="auto"/>
              <w:jc w:val="center"/>
              <w:textAlignment w:val="center"/>
              <w:rPr>
                <w:rFonts w:ascii="Times New Roman" w:hAnsi="Times New Roman"/>
                <w:sz w:val="15"/>
                <w:szCs w:val="15"/>
              </w:rPr>
            </w:pPr>
          </w:p>
        </w:tc>
        <w:tc>
          <w:tcPr>
            <w:tcW w:w="157" w:type="pct"/>
            <w:vAlign w:val="center"/>
          </w:tcPr>
          <w:p w14:paraId="2C203ECC">
            <w:pPr>
              <w:topLinePunct/>
              <w:snapToGrid w:val="0"/>
              <w:spacing w:line="240" w:lineRule="auto"/>
              <w:jc w:val="center"/>
              <w:textAlignment w:val="center"/>
              <w:rPr>
                <w:rFonts w:ascii="Times New Roman" w:hAnsi="Times New Roman"/>
                <w:sz w:val="15"/>
                <w:szCs w:val="15"/>
              </w:rPr>
            </w:pPr>
          </w:p>
        </w:tc>
        <w:tc>
          <w:tcPr>
            <w:tcW w:w="157" w:type="pct"/>
            <w:vAlign w:val="center"/>
          </w:tcPr>
          <w:p w14:paraId="3CEB305B">
            <w:pPr>
              <w:topLinePunct/>
              <w:snapToGrid w:val="0"/>
              <w:spacing w:line="240" w:lineRule="auto"/>
              <w:jc w:val="center"/>
              <w:textAlignment w:val="center"/>
              <w:rPr>
                <w:rFonts w:ascii="Times New Roman" w:hAnsi="Times New Roman"/>
                <w:sz w:val="15"/>
                <w:szCs w:val="15"/>
              </w:rPr>
            </w:pPr>
          </w:p>
        </w:tc>
        <w:tc>
          <w:tcPr>
            <w:tcW w:w="157" w:type="pct"/>
            <w:vAlign w:val="center"/>
          </w:tcPr>
          <w:p w14:paraId="0F5776D0">
            <w:pPr>
              <w:topLinePunct/>
              <w:snapToGrid w:val="0"/>
              <w:spacing w:line="240" w:lineRule="auto"/>
              <w:jc w:val="center"/>
              <w:textAlignment w:val="center"/>
              <w:rPr>
                <w:rFonts w:ascii="Times New Roman" w:hAnsi="Times New Roman"/>
                <w:sz w:val="15"/>
                <w:szCs w:val="15"/>
              </w:rPr>
            </w:pPr>
          </w:p>
        </w:tc>
        <w:tc>
          <w:tcPr>
            <w:tcW w:w="157" w:type="pct"/>
            <w:vAlign w:val="center"/>
          </w:tcPr>
          <w:p w14:paraId="61C487DC">
            <w:pPr>
              <w:topLinePunct/>
              <w:snapToGrid w:val="0"/>
              <w:spacing w:line="240" w:lineRule="auto"/>
              <w:jc w:val="center"/>
              <w:textAlignment w:val="center"/>
              <w:rPr>
                <w:rFonts w:ascii="Times New Roman" w:hAnsi="Times New Roman"/>
                <w:sz w:val="15"/>
                <w:szCs w:val="15"/>
              </w:rPr>
            </w:pPr>
          </w:p>
        </w:tc>
        <w:tc>
          <w:tcPr>
            <w:tcW w:w="157" w:type="pct"/>
            <w:vAlign w:val="center"/>
          </w:tcPr>
          <w:p w14:paraId="3D8E820E">
            <w:pPr>
              <w:topLinePunct/>
              <w:snapToGrid w:val="0"/>
              <w:spacing w:line="240" w:lineRule="auto"/>
              <w:jc w:val="center"/>
              <w:textAlignment w:val="center"/>
              <w:rPr>
                <w:rFonts w:ascii="Times New Roman" w:hAnsi="Times New Roman"/>
                <w:sz w:val="15"/>
                <w:szCs w:val="15"/>
              </w:rPr>
            </w:pPr>
          </w:p>
        </w:tc>
        <w:tc>
          <w:tcPr>
            <w:tcW w:w="157" w:type="pct"/>
            <w:shd w:val="clear" w:color="auto" w:fill="E7E6E6" w:themeFill="background2"/>
            <w:vAlign w:val="center"/>
          </w:tcPr>
          <w:p w14:paraId="2FCFCF17">
            <w:pPr>
              <w:topLinePunct/>
              <w:snapToGrid w:val="0"/>
              <w:spacing w:line="240" w:lineRule="auto"/>
              <w:jc w:val="center"/>
              <w:textAlignment w:val="center"/>
              <w:rPr>
                <w:rFonts w:ascii="Times New Roman" w:hAnsi="Times New Roman"/>
                <w:sz w:val="15"/>
                <w:szCs w:val="15"/>
              </w:rPr>
            </w:pPr>
          </w:p>
        </w:tc>
        <w:tc>
          <w:tcPr>
            <w:tcW w:w="157" w:type="pct"/>
            <w:shd w:val="clear" w:color="auto" w:fill="E7E6E6" w:themeFill="background2"/>
            <w:vAlign w:val="center"/>
          </w:tcPr>
          <w:p w14:paraId="3940B5B4">
            <w:pPr>
              <w:topLinePunct/>
              <w:snapToGrid w:val="0"/>
              <w:spacing w:line="240" w:lineRule="auto"/>
              <w:jc w:val="center"/>
              <w:textAlignment w:val="center"/>
              <w:rPr>
                <w:rFonts w:ascii="Times New Roman" w:hAnsi="Times New Roman"/>
                <w:sz w:val="15"/>
                <w:szCs w:val="15"/>
              </w:rPr>
            </w:pPr>
          </w:p>
        </w:tc>
        <w:tc>
          <w:tcPr>
            <w:tcW w:w="157" w:type="pct"/>
            <w:vAlign w:val="center"/>
          </w:tcPr>
          <w:p w14:paraId="7513F63A">
            <w:pPr>
              <w:topLinePunct/>
              <w:snapToGrid w:val="0"/>
              <w:spacing w:line="240" w:lineRule="auto"/>
              <w:jc w:val="center"/>
              <w:textAlignment w:val="center"/>
              <w:rPr>
                <w:rFonts w:ascii="Times New Roman" w:hAnsi="Times New Roman"/>
                <w:sz w:val="15"/>
                <w:szCs w:val="15"/>
              </w:rPr>
            </w:pPr>
          </w:p>
        </w:tc>
        <w:tc>
          <w:tcPr>
            <w:tcW w:w="157" w:type="pct"/>
            <w:vAlign w:val="center"/>
          </w:tcPr>
          <w:p w14:paraId="1542914F">
            <w:pPr>
              <w:topLinePunct/>
              <w:snapToGrid w:val="0"/>
              <w:spacing w:line="240" w:lineRule="auto"/>
              <w:jc w:val="center"/>
              <w:textAlignment w:val="center"/>
              <w:rPr>
                <w:rFonts w:ascii="Times New Roman" w:hAnsi="Times New Roman"/>
                <w:sz w:val="15"/>
                <w:szCs w:val="15"/>
              </w:rPr>
            </w:pPr>
          </w:p>
        </w:tc>
        <w:tc>
          <w:tcPr>
            <w:tcW w:w="157" w:type="pct"/>
            <w:vAlign w:val="center"/>
          </w:tcPr>
          <w:p w14:paraId="0618FF97">
            <w:pPr>
              <w:topLinePunct/>
              <w:snapToGrid w:val="0"/>
              <w:spacing w:line="240" w:lineRule="auto"/>
              <w:jc w:val="center"/>
              <w:textAlignment w:val="center"/>
              <w:rPr>
                <w:rFonts w:ascii="Times New Roman" w:hAnsi="Times New Roman"/>
                <w:sz w:val="15"/>
                <w:szCs w:val="15"/>
              </w:rPr>
            </w:pPr>
          </w:p>
        </w:tc>
        <w:tc>
          <w:tcPr>
            <w:tcW w:w="157" w:type="pct"/>
            <w:vAlign w:val="center"/>
          </w:tcPr>
          <w:p w14:paraId="3A24E3A3">
            <w:pPr>
              <w:topLinePunct/>
              <w:snapToGrid w:val="0"/>
              <w:spacing w:line="240" w:lineRule="auto"/>
              <w:jc w:val="center"/>
              <w:textAlignment w:val="center"/>
              <w:rPr>
                <w:rFonts w:ascii="Times New Roman" w:hAnsi="Times New Roman"/>
                <w:sz w:val="15"/>
                <w:szCs w:val="15"/>
              </w:rPr>
            </w:pPr>
          </w:p>
        </w:tc>
        <w:tc>
          <w:tcPr>
            <w:tcW w:w="157" w:type="pct"/>
            <w:vAlign w:val="center"/>
          </w:tcPr>
          <w:p w14:paraId="67712555">
            <w:pPr>
              <w:topLinePunct/>
              <w:snapToGrid w:val="0"/>
              <w:spacing w:line="240" w:lineRule="auto"/>
              <w:jc w:val="center"/>
              <w:textAlignment w:val="center"/>
              <w:rPr>
                <w:rFonts w:ascii="Times New Roman" w:hAnsi="Times New Roman"/>
                <w:sz w:val="15"/>
                <w:szCs w:val="15"/>
              </w:rPr>
            </w:pPr>
          </w:p>
        </w:tc>
        <w:tc>
          <w:tcPr>
            <w:tcW w:w="157" w:type="pct"/>
            <w:vAlign w:val="center"/>
          </w:tcPr>
          <w:p w14:paraId="3703A0CA">
            <w:pPr>
              <w:topLinePunct/>
              <w:snapToGrid w:val="0"/>
              <w:spacing w:line="240" w:lineRule="auto"/>
              <w:jc w:val="center"/>
              <w:textAlignment w:val="center"/>
              <w:rPr>
                <w:rFonts w:ascii="Times New Roman" w:hAnsi="Times New Roman"/>
                <w:sz w:val="15"/>
                <w:szCs w:val="15"/>
              </w:rPr>
            </w:pPr>
          </w:p>
        </w:tc>
        <w:tc>
          <w:tcPr>
            <w:tcW w:w="157" w:type="pct"/>
            <w:vAlign w:val="center"/>
          </w:tcPr>
          <w:p w14:paraId="4C68897D">
            <w:pPr>
              <w:topLinePunct/>
              <w:snapToGrid w:val="0"/>
              <w:spacing w:line="240" w:lineRule="auto"/>
              <w:jc w:val="center"/>
              <w:textAlignment w:val="center"/>
              <w:rPr>
                <w:rFonts w:ascii="Times New Roman" w:hAnsi="Times New Roman"/>
                <w:sz w:val="15"/>
                <w:szCs w:val="15"/>
              </w:rPr>
            </w:pPr>
          </w:p>
        </w:tc>
        <w:tc>
          <w:tcPr>
            <w:tcW w:w="157" w:type="pct"/>
            <w:vAlign w:val="center"/>
          </w:tcPr>
          <w:p w14:paraId="151B9A07">
            <w:pPr>
              <w:topLinePunct/>
              <w:snapToGrid w:val="0"/>
              <w:spacing w:line="240" w:lineRule="auto"/>
              <w:jc w:val="center"/>
              <w:textAlignment w:val="center"/>
              <w:rPr>
                <w:rFonts w:ascii="Times New Roman" w:hAnsi="Times New Roman"/>
                <w:sz w:val="15"/>
                <w:szCs w:val="15"/>
              </w:rPr>
            </w:pPr>
          </w:p>
        </w:tc>
        <w:tc>
          <w:tcPr>
            <w:tcW w:w="157" w:type="pct"/>
            <w:vAlign w:val="center"/>
          </w:tcPr>
          <w:p w14:paraId="1DFCCA35">
            <w:pPr>
              <w:topLinePunct/>
              <w:snapToGrid w:val="0"/>
              <w:spacing w:line="240" w:lineRule="auto"/>
              <w:jc w:val="center"/>
              <w:textAlignment w:val="center"/>
              <w:rPr>
                <w:rFonts w:ascii="Times New Roman" w:hAnsi="Times New Roman"/>
                <w:sz w:val="15"/>
                <w:szCs w:val="15"/>
              </w:rPr>
            </w:pPr>
          </w:p>
        </w:tc>
        <w:tc>
          <w:tcPr>
            <w:tcW w:w="157" w:type="pct"/>
            <w:vAlign w:val="center"/>
          </w:tcPr>
          <w:p w14:paraId="3EDF1EEA">
            <w:pPr>
              <w:topLinePunct/>
              <w:snapToGrid w:val="0"/>
              <w:spacing w:line="240" w:lineRule="auto"/>
              <w:jc w:val="center"/>
              <w:textAlignment w:val="center"/>
              <w:rPr>
                <w:rFonts w:ascii="Times New Roman" w:hAnsi="Times New Roman"/>
                <w:sz w:val="15"/>
                <w:szCs w:val="15"/>
              </w:rPr>
            </w:pPr>
          </w:p>
        </w:tc>
        <w:tc>
          <w:tcPr>
            <w:tcW w:w="157" w:type="pct"/>
            <w:vAlign w:val="center"/>
          </w:tcPr>
          <w:p w14:paraId="6170209D">
            <w:pPr>
              <w:topLinePunct/>
              <w:snapToGrid w:val="0"/>
              <w:spacing w:line="240" w:lineRule="auto"/>
              <w:jc w:val="center"/>
              <w:textAlignment w:val="center"/>
              <w:rPr>
                <w:rFonts w:ascii="Times New Roman" w:hAnsi="Times New Roman"/>
                <w:sz w:val="15"/>
                <w:szCs w:val="15"/>
              </w:rPr>
            </w:pPr>
          </w:p>
        </w:tc>
        <w:tc>
          <w:tcPr>
            <w:tcW w:w="157" w:type="pct"/>
            <w:vAlign w:val="center"/>
          </w:tcPr>
          <w:p w14:paraId="69AA8739">
            <w:pPr>
              <w:topLinePunct/>
              <w:snapToGrid w:val="0"/>
              <w:spacing w:line="240" w:lineRule="auto"/>
              <w:jc w:val="center"/>
              <w:textAlignment w:val="center"/>
              <w:rPr>
                <w:rFonts w:ascii="Times New Roman" w:hAnsi="Times New Roman"/>
                <w:sz w:val="15"/>
                <w:szCs w:val="15"/>
              </w:rPr>
            </w:pPr>
          </w:p>
        </w:tc>
        <w:tc>
          <w:tcPr>
            <w:tcW w:w="157" w:type="pct"/>
            <w:vAlign w:val="center"/>
          </w:tcPr>
          <w:p w14:paraId="62F8CA9C">
            <w:pPr>
              <w:topLinePunct/>
              <w:snapToGrid w:val="0"/>
              <w:spacing w:line="240" w:lineRule="auto"/>
              <w:jc w:val="center"/>
              <w:textAlignment w:val="center"/>
              <w:rPr>
                <w:rFonts w:ascii="Times New Roman" w:hAnsi="Times New Roman"/>
                <w:sz w:val="15"/>
                <w:szCs w:val="15"/>
              </w:rPr>
            </w:pPr>
          </w:p>
        </w:tc>
        <w:tc>
          <w:tcPr>
            <w:tcW w:w="157" w:type="pct"/>
            <w:vAlign w:val="center"/>
          </w:tcPr>
          <w:p w14:paraId="2C880608">
            <w:pPr>
              <w:topLinePunct/>
              <w:snapToGrid w:val="0"/>
              <w:spacing w:line="240" w:lineRule="auto"/>
              <w:jc w:val="center"/>
              <w:textAlignment w:val="center"/>
              <w:rPr>
                <w:rFonts w:ascii="Times New Roman" w:hAnsi="Times New Roman"/>
                <w:sz w:val="15"/>
                <w:szCs w:val="15"/>
              </w:rPr>
            </w:pPr>
          </w:p>
        </w:tc>
      </w:tr>
      <w:tr w14:paraId="4C2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4D3BEC9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812" w:type="pct"/>
            <w:gridSpan w:val="6"/>
            <w:vAlign w:val="center"/>
          </w:tcPr>
          <w:p w14:paraId="7E599CE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对象分类</w:t>
            </w:r>
            <w:r>
              <w:rPr>
                <w:rFonts w:ascii="Times New Roman" w:hAnsi="Times New Roman"/>
                <w:sz w:val="15"/>
                <w:szCs w:val="15"/>
              </w:rPr>
              <w:t>代码</w:t>
            </w:r>
          </w:p>
        </w:tc>
        <w:tc>
          <w:tcPr>
            <w:tcW w:w="156" w:type="pct"/>
            <w:shd w:val="clear" w:color="auto" w:fill="E7E6E6" w:themeFill="background2"/>
            <w:vAlign w:val="center"/>
          </w:tcPr>
          <w:p w14:paraId="5A73A6E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1367" w:type="pct"/>
            <w:gridSpan w:val="9"/>
            <w:vAlign w:val="center"/>
          </w:tcPr>
          <w:p w14:paraId="1E2083D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314" w:type="pct"/>
            <w:gridSpan w:val="2"/>
            <w:shd w:val="clear" w:color="auto" w:fill="E7E6E6" w:themeFill="background2"/>
            <w:vAlign w:val="center"/>
          </w:tcPr>
          <w:p w14:paraId="4015E0A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2195" w:type="pct"/>
            <w:gridSpan w:val="14"/>
            <w:vAlign w:val="center"/>
          </w:tcPr>
          <w:p w14:paraId="0B5B3FD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660A50CB">
      <w:pPr>
        <w:pStyle w:val="118"/>
        <w:spacing w:before="156" w:after="156"/>
      </w:pPr>
      <w:r>
        <w:rPr>
          <w:rFonts w:hint="eastAsia"/>
        </w:rPr>
        <w:t>3</w:t>
      </w:r>
      <w:r>
        <w:t>2</w:t>
      </w:r>
      <w:r>
        <w:rPr>
          <w:rFonts w:hint="eastAsia"/>
        </w:rPr>
        <w:t>位</w:t>
      </w:r>
      <w:r>
        <w:t>身份标识代码组成</w:t>
      </w:r>
    </w:p>
    <w:p w14:paraId="5FAB169A">
      <w:pPr>
        <w:pStyle w:val="169"/>
      </w:pPr>
      <w:r>
        <w:rPr>
          <w:rFonts w:hint="eastAsia"/>
        </w:rPr>
        <w:t>身份标识代码第1～6位为</w:t>
      </w:r>
      <w:r>
        <w:t>对象</w:t>
      </w:r>
      <w:r>
        <w:rPr>
          <w:rFonts w:hint="eastAsia"/>
        </w:rPr>
        <w:t>分类代码，</w:t>
      </w:r>
      <w:r>
        <w:t>长度</w:t>
      </w:r>
      <w:r>
        <w:rPr>
          <w:rFonts w:hint="eastAsia"/>
        </w:rPr>
        <w:t>6位</w:t>
      </w:r>
      <w:r>
        <w:t>，</w:t>
      </w:r>
      <w:r>
        <w:rPr>
          <w:rFonts w:hint="eastAsia"/>
        </w:rPr>
        <w:t>水务</w:t>
      </w:r>
      <w:r>
        <w:t>对象分类代码</w:t>
      </w:r>
      <w:r>
        <w:rPr>
          <w:rFonts w:hint="eastAsia"/>
        </w:rPr>
        <w:t>应符合附录A的</w:t>
      </w:r>
      <w:r>
        <w:t>规定</w:t>
      </w:r>
      <w:r>
        <w:rPr>
          <w:rFonts w:hint="eastAsia"/>
        </w:rPr>
        <w:t>。</w:t>
      </w:r>
    </w:p>
    <w:p w14:paraId="4B2605FA">
      <w:pPr>
        <w:pStyle w:val="169"/>
      </w:pPr>
      <w:r>
        <w:rPr>
          <w:rFonts w:hint="eastAsia"/>
        </w:rPr>
        <w:t>身份标识代码第</w:t>
      </w:r>
      <w:r>
        <w:t>7</w:t>
      </w:r>
      <w:r>
        <w:rPr>
          <w:rFonts w:hint="eastAsia"/>
        </w:rPr>
        <w:t>位为长度</w:t>
      </w:r>
      <w:r>
        <w:t>代码</w:t>
      </w:r>
      <w:r>
        <w:rPr>
          <w:rFonts w:hint="eastAsia"/>
        </w:rPr>
        <w:t>，</w:t>
      </w:r>
      <w:r>
        <w:t>长度</w:t>
      </w:r>
      <w:r>
        <w:rPr>
          <w:rFonts w:hint="eastAsia"/>
        </w:rPr>
        <w:t>1位</w:t>
      </w:r>
      <w:r>
        <w:t>，</w:t>
      </w:r>
      <w:r>
        <w:rPr>
          <w:rFonts w:hint="eastAsia"/>
        </w:rPr>
        <w:t>用来表示“身份代码”段的有效位数，</w:t>
      </w:r>
      <w:r>
        <w:t>取</w:t>
      </w:r>
      <w:r>
        <w:rPr>
          <w:rFonts w:hint="eastAsia"/>
        </w:rPr>
        <w:t>“1～9”和“ABCDE”，</w:t>
      </w:r>
      <w:r>
        <w:t>其中：</w:t>
      </w:r>
    </w:p>
    <w:p w14:paraId="1DA148E1">
      <w:pPr>
        <w:pStyle w:val="60"/>
        <w:numPr>
          <w:ilvl w:val="0"/>
          <w:numId w:val="33"/>
        </w:numPr>
        <w:ind w:firstLineChars="0"/>
      </w:pPr>
      <w:r>
        <w:rPr>
          <w:rFonts w:hint="eastAsia"/>
        </w:rPr>
        <w:t>1～9表示身份代码有效位数为1～9；</w:t>
      </w:r>
    </w:p>
    <w:p w14:paraId="5AFD0BDD">
      <w:pPr>
        <w:pStyle w:val="60"/>
        <w:numPr>
          <w:ilvl w:val="0"/>
          <w:numId w:val="33"/>
        </w:numPr>
        <w:ind w:firstLineChars="0"/>
      </w:pPr>
      <w:r>
        <w:rPr>
          <w:rFonts w:hint="eastAsia"/>
        </w:rPr>
        <w:t>A表示身份代码有效位数为1</w:t>
      </w:r>
      <w:r>
        <w:t>0</w:t>
      </w:r>
      <w:r>
        <w:rPr>
          <w:rFonts w:hint="eastAsia"/>
        </w:rPr>
        <w:t>；</w:t>
      </w:r>
    </w:p>
    <w:p w14:paraId="2015EECA">
      <w:pPr>
        <w:pStyle w:val="60"/>
        <w:numPr>
          <w:ilvl w:val="0"/>
          <w:numId w:val="33"/>
        </w:numPr>
        <w:ind w:firstLineChars="0"/>
      </w:pPr>
      <w:r>
        <w:rPr>
          <w:rFonts w:hint="eastAsia"/>
        </w:rPr>
        <w:t>B表示身份代码有效位数为1</w:t>
      </w:r>
      <w:r>
        <w:t>1</w:t>
      </w:r>
      <w:r>
        <w:rPr>
          <w:rFonts w:hint="eastAsia"/>
        </w:rPr>
        <w:t>；</w:t>
      </w:r>
    </w:p>
    <w:p w14:paraId="3BBA3545">
      <w:pPr>
        <w:pStyle w:val="60"/>
        <w:numPr>
          <w:ilvl w:val="0"/>
          <w:numId w:val="33"/>
        </w:numPr>
        <w:ind w:firstLineChars="0"/>
      </w:pPr>
      <w:r>
        <w:rPr>
          <w:rFonts w:hint="eastAsia"/>
        </w:rPr>
        <w:t>C表示身份代码有效位数为1</w:t>
      </w:r>
      <w:r>
        <w:t>2</w:t>
      </w:r>
      <w:r>
        <w:rPr>
          <w:rFonts w:hint="eastAsia"/>
        </w:rPr>
        <w:t>；</w:t>
      </w:r>
    </w:p>
    <w:p w14:paraId="7A877239">
      <w:pPr>
        <w:pStyle w:val="60"/>
        <w:numPr>
          <w:ilvl w:val="0"/>
          <w:numId w:val="33"/>
        </w:numPr>
        <w:ind w:firstLineChars="0"/>
      </w:pPr>
      <w:r>
        <w:rPr>
          <w:rFonts w:hint="eastAsia"/>
        </w:rPr>
        <w:t>D表示身份代码有效位数为1</w:t>
      </w:r>
      <w:r>
        <w:t>3</w:t>
      </w:r>
      <w:r>
        <w:rPr>
          <w:rFonts w:hint="eastAsia"/>
        </w:rPr>
        <w:t>；</w:t>
      </w:r>
    </w:p>
    <w:p w14:paraId="16430A84">
      <w:pPr>
        <w:pStyle w:val="60"/>
        <w:numPr>
          <w:ilvl w:val="0"/>
          <w:numId w:val="33"/>
        </w:numPr>
        <w:ind w:firstLineChars="0"/>
      </w:pPr>
      <w:r>
        <w:t>E</w:t>
      </w:r>
      <w:r>
        <w:rPr>
          <w:rFonts w:hint="eastAsia"/>
        </w:rPr>
        <w:t>表示</w:t>
      </w:r>
      <w:r>
        <w:t>身份代码有效位数为</w:t>
      </w:r>
      <w:r>
        <w:rPr>
          <w:rFonts w:hint="eastAsia"/>
        </w:rPr>
        <w:t>14。</w:t>
      </w:r>
    </w:p>
    <w:p w14:paraId="1E562E56">
      <w:pPr>
        <w:pStyle w:val="169"/>
      </w:pPr>
      <w:r>
        <w:rPr>
          <w:rFonts w:hint="eastAsia"/>
        </w:rPr>
        <w:t>身份标识代码第</w:t>
      </w:r>
      <w:r>
        <w:t>8</w:t>
      </w:r>
      <w:r>
        <w:rPr>
          <w:rFonts w:hint="eastAsia"/>
        </w:rPr>
        <w:t>～16位为行政区代码，</w:t>
      </w:r>
      <w:r>
        <w:t>长度9</w:t>
      </w:r>
      <w:r>
        <w:rPr>
          <w:rFonts w:hint="eastAsia"/>
        </w:rPr>
        <w:t>位</w:t>
      </w:r>
      <w:r>
        <w:t>，</w:t>
      </w:r>
      <w:r>
        <w:rPr>
          <w:rFonts w:hint="eastAsia"/>
        </w:rPr>
        <w:t>按DB11/T 064执行，其中</w:t>
      </w:r>
      <w:r>
        <w:t>：</w:t>
      </w:r>
    </w:p>
    <w:p w14:paraId="1B7DCCE0">
      <w:pPr>
        <w:pStyle w:val="60"/>
        <w:numPr>
          <w:ilvl w:val="0"/>
          <w:numId w:val="34"/>
        </w:numPr>
        <w:ind w:left="0" w:firstLine="420"/>
      </w:pPr>
      <w:r>
        <w:rPr>
          <w:rFonts w:hint="eastAsia"/>
        </w:rPr>
        <w:t>第8～13位为区</w:t>
      </w:r>
      <w:r>
        <w:t>代码，长度</w:t>
      </w:r>
      <w:r>
        <w:rPr>
          <w:rFonts w:hint="eastAsia"/>
        </w:rPr>
        <w:t>6位；</w:t>
      </w:r>
    </w:p>
    <w:p w14:paraId="2EC2E4CB">
      <w:pPr>
        <w:pStyle w:val="60"/>
        <w:numPr>
          <w:ilvl w:val="0"/>
          <w:numId w:val="34"/>
        </w:numPr>
        <w:ind w:left="0" w:firstLine="420"/>
      </w:pPr>
      <w:r>
        <w:rPr>
          <w:rFonts w:hint="eastAsia"/>
        </w:rPr>
        <w:t>第14～1</w:t>
      </w:r>
      <w:r>
        <w:t>6</w:t>
      </w:r>
      <w:r>
        <w:rPr>
          <w:rFonts w:hint="eastAsia"/>
        </w:rPr>
        <w:t>位</w:t>
      </w:r>
      <w:r>
        <w:t>为</w:t>
      </w:r>
      <w:r>
        <w:rPr>
          <w:rFonts w:hint="eastAsia"/>
        </w:rPr>
        <w:t>街道</w:t>
      </w:r>
      <w:r>
        <w:t>（</w:t>
      </w:r>
      <w:r>
        <w:rPr>
          <w:rFonts w:hint="eastAsia"/>
        </w:rPr>
        <w:t>地区</w:t>
      </w:r>
      <w:r>
        <w:t>）</w:t>
      </w:r>
      <w:r>
        <w:rPr>
          <w:rFonts w:hint="eastAsia"/>
        </w:rPr>
        <w:t>、</w:t>
      </w:r>
      <w:r>
        <w:t>镇和乡代码，长度</w:t>
      </w:r>
      <w:r>
        <w:rPr>
          <w:rFonts w:hint="eastAsia"/>
        </w:rPr>
        <w:t>3位</w:t>
      </w:r>
      <w:r>
        <w:t>；</w:t>
      </w:r>
    </w:p>
    <w:p w14:paraId="2A889AC5">
      <w:pPr>
        <w:pStyle w:val="60"/>
        <w:numPr>
          <w:ilvl w:val="0"/>
          <w:numId w:val="34"/>
        </w:numPr>
        <w:ind w:left="0" w:firstLine="420"/>
      </w:pPr>
      <w:r>
        <w:rPr>
          <w:rFonts w:hint="eastAsia"/>
        </w:rPr>
        <w:t>如不涉及行政区划，此部分代码全部取“0”；</w:t>
      </w:r>
    </w:p>
    <w:p w14:paraId="7A1022E8">
      <w:pPr>
        <w:pStyle w:val="169"/>
      </w:pPr>
      <w:r>
        <w:rPr>
          <w:rFonts w:hint="eastAsia"/>
        </w:rPr>
        <w:t>身份标识代码第</w:t>
      </w:r>
      <w:r>
        <w:t>17</w:t>
      </w:r>
      <w:r>
        <w:rPr>
          <w:rFonts w:hint="eastAsia"/>
        </w:rPr>
        <w:t>～</w:t>
      </w:r>
      <w:r>
        <w:t>18</w:t>
      </w:r>
      <w:r>
        <w:rPr>
          <w:rFonts w:hint="eastAsia"/>
        </w:rPr>
        <w:t>位为流域代码，长度2位，按SL/T 213执行，其中：</w:t>
      </w:r>
    </w:p>
    <w:p w14:paraId="083A7583">
      <w:pPr>
        <w:pStyle w:val="60"/>
        <w:numPr>
          <w:ilvl w:val="0"/>
          <w:numId w:val="35"/>
        </w:numPr>
        <w:ind w:firstLineChars="0"/>
      </w:pPr>
      <w:r>
        <w:rPr>
          <w:rFonts w:hint="eastAsia"/>
        </w:rPr>
        <w:t>C</w:t>
      </w:r>
      <w:r>
        <w:t>B</w:t>
      </w:r>
      <w:r>
        <w:rPr>
          <w:rFonts w:hint="eastAsia"/>
        </w:rPr>
        <w:t>表示</w:t>
      </w:r>
      <w:r>
        <w:t>北三河水系</w:t>
      </w:r>
      <w:r>
        <w:rPr>
          <w:rFonts w:hint="eastAsia"/>
        </w:rPr>
        <w:t>；</w:t>
      </w:r>
    </w:p>
    <w:p w14:paraId="42F068A8">
      <w:pPr>
        <w:pStyle w:val="60"/>
        <w:numPr>
          <w:ilvl w:val="0"/>
          <w:numId w:val="35"/>
        </w:numPr>
        <w:ind w:firstLineChars="0"/>
      </w:pPr>
      <w:r>
        <w:rPr>
          <w:rFonts w:hint="eastAsia"/>
        </w:rPr>
        <w:t>C</w:t>
      </w:r>
      <w:r>
        <w:t>C</w:t>
      </w:r>
      <w:r>
        <w:rPr>
          <w:rFonts w:hint="eastAsia"/>
        </w:rPr>
        <w:t>表示永定河</w:t>
      </w:r>
      <w:r>
        <w:t>水系</w:t>
      </w:r>
      <w:r>
        <w:rPr>
          <w:rFonts w:hint="eastAsia"/>
        </w:rPr>
        <w:t>；</w:t>
      </w:r>
    </w:p>
    <w:p w14:paraId="6B43EBC2">
      <w:pPr>
        <w:pStyle w:val="60"/>
        <w:numPr>
          <w:ilvl w:val="0"/>
          <w:numId w:val="35"/>
        </w:numPr>
        <w:ind w:firstLineChars="0"/>
      </w:pPr>
      <w:r>
        <w:rPr>
          <w:rFonts w:hint="eastAsia"/>
        </w:rPr>
        <w:t>C</w:t>
      </w:r>
      <w:r>
        <w:t>D</w:t>
      </w:r>
      <w:r>
        <w:rPr>
          <w:rFonts w:hint="eastAsia"/>
        </w:rPr>
        <w:t>表示</w:t>
      </w:r>
      <w:r>
        <w:t>大清河水系</w:t>
      </w:r>
      <w:r>
        <w:rPr>
          <w:rFonts w:hint="eastAsia"/>
        </w:rPr>
        <w:t>；</w:t>
      </w:r>
    </w:p>
    <w:p w14:paraId="6095EA39">
      <w:pPr>
        <w:pStyle w:val="60"/>
        <w:numPr>
          <w:ilvl w:val="0"/>
          <w:numId w:val="35"/>
        </w:numPr>
        <w:ind w:firstLineChars="0"/>
      </w:pPr>
      <w:r>
        <w:rPr>
          <w:rFonts w:hint="eastAsia"/>
        </w:rPr>
        <w:t>有细化</w:t>
      </w:r>
      <w:r>
        <w:t>流域编码需求的，可采用</w:t>
      </w:r>
      <w:r>
        <w:rPr>
          <w:rFonts w:hint="eastAsia"/>
        </w:rPr>
        <w:t>C1代表潮白河水系、C</w:t>
      </w:r>
      <w:r>
        <w:t>2</w:t>
      </w:r>
      <w:r>
        <w:rPr>
          <w:rFonts w:hint="eastAsia"/>
        </w:rPr>
        <w:t>代表北运河水系、C</w:t>
      </w:r>
      <w:r>
        <w:t>3</w:t>
      </w:r>
      <w:r>
        <w:rPr>
          <w:rFonts w:hint="eastAsia"/>
        </w:rPr>
        <w:t>代表蓟运河水系；</w:t>
      </w:r>
    </w:p>
    <w:p w14:paraId="52BBE233">
      <w:pPr>
        <w:pStyle w:val="60"/>
        <w:numPr>
          <w:ilvl w:val="0"/>
          <w:numId w:val="35"/>
        </w:numPr>
        <w:ind w:firstLineChars="0"/>
      </w:pPr>
      <w:r>
        <w:rPr>
          <w:rFonts w:hint="eastAsia"/>
        </w:rPr>
        <w:t>如不涉及流域，此部分代码全部取“0”。</w:t>
      </w:r>
    </w:p>
    <w:p w14:paraId="50C28DF2">
      <w:pPr>
        <w:pStyle w:val="169"/>
      </w:pPr>
      <w:r>
        <w:rPr>
          <w:rFonts w:hint="eastAsia"/>
        </w:rPr>
        <w:t>身份标识代码第</w:t>
      </w:r>
      <w:r>
        <w:t>19</w:t>
      </w:r>
      <w:r>
        <w:rPr>
          <w:rFonts w:hint="eastAsia"/>
        </w:rPr>
        <w:t>～</w:t>
      </w:r>
      <w:r>
        <w:t>32</w:t>
      </w:r>
      <w:r>
        <w:rPr>
          <w:rFonts w:hint="eastAsia"/>
        </w:rPr>
        <w:t>位为身份代码，长度</w:t>
      </w:r>
      <w:r>
        <w:t>14</w:t>
      </w:r>
      <w:r>
        <w:rPr>
          <w:rFonts w:hint="eastAsia"/>
        </w:rPr>
        <w:t>位，用</w:t>
      </w:r>
      <w:r>
        <w:t>字母</w:t>
      </w:r>
      <w:r>
        <w:rPr>
          <w:rFonts w:hint="eastAsia"/>
        </w:rPr>
        <w:t>“A～Z”和数字“0～9”表示，有效位数靠右，其余位数用‘0’补齐。身份代码按水务对象</w:t>
      </w:r>
      <w:r>
        <w:t>分类制定编码规则</w:t>
      </w:r>
      <w:r>
        <w:rPr>
          <w:rFonts w:hint="eastAsia"/>
        </w:rPr>
        <w:t>。部分水务</w:t>
      </w:r>
      <w:r>
        <w:t>对象</w:t>
      </w:r>
      <w:r>
        <w:rPr>
          <w:rFonts w:hint="eastAsia"/>
        </w:rPr>
        <w:t>身份</w:t>
      </w:r>
      <w:r>
        <w:t>代码</w:t>
      </w:r>
      <w:r>
        <w:rPr>
          <w:rFonts w:hint="eastAsia"/>
        </w:rPr>
        <w:t>如</w:t>
      </w:r>
      <w:r>
        <w:t>涉及村庄，</w:t>
      </w:r>
      <w:r>
        <w:rPr>
          <w:rFonts w:hint="eastAsia"/>
        </w:rPr>
        <w:t>应引用</w:t>
      </w:r>
      <w:r>
        <w:t>国家统计</w:t>
      </w:r>
      <w:r>
        <w:rPr>
          <w:rFonts w:hint="eastAsia"/>
        </w:rPr>
        <w:t>局最新</w:t>
      </w:r>
      <w:r>
        <w:t>的</w:t>
      </w:r>
      <w:r>
        <w:rPr>
          <w:bCs/>
        </w:rPr>
        <w:t>统计用区划代码和城乡划分代码</w:t>
      </w:r>
      <w:r>
        <w:rPr>
          <w:rFonts w:hint="eastAsia"/>
        </w:rPr>
        <w:t>。水务</w:t>
      </w:r>
      <w:r>
        <w:t>物联感知</w:t>
      </w:r>
      <w:r>
        <w:rPr>
          <w:rFonts w:hint="eastAsia"/>
        </w:rPr>
        <w:t>类</w:t>
      </w:r>
      <w:r>
        <w:t>对象</w:t>
      </w:r>
      <w:r>
        <w:rPr>
          <w:rFonts w:hint="eastAsia"/>
        </w:rPr>
        <w:t>身份</w:t>
      </w:r>
      <w:r>
        <w:t>代码按</w:t>
      </w:r>
      <w:r>
        <w:rPr>
          <w:rFonts w:hint="eastAsia"/>
        </w:rPr>
        <w:t>DB11/T</w:t>
      </w:r>
      <w:r>
        <w:t xml:space="preserve"> 2181</w:t>
      </w:r>
      <w:r>
        <w:rPr>
          <w:rFonts w:hint="eastAsia"/>
        </w:rPr>
        <w:t>执行</w:t>
      </w:r>
      <w:r>
        <w:t>，即取</w:t>
      </w:r>
      <w:r>
        <w:rPr>
          <w:rFonts w:hint="eastAsia"/>
        </w:rPr>
        <w:t>4位</w:t>
      </w:r>
      <w:r>
        <w:t>单位代码和</w:t>
      </w:r>
      <w:r>
        <w:rPr>
          <w:rFonts w:hint="eastAsia"/>
        </w:rPr>
        <w:t>4位</w:t>
      </w:r>
      <w:r>
        <w:t>顺序号代码共计</w:t>
      </w:r>
      <w:r>
        <w:rPr>
          <w:rFonts w:hint="eastAsia"/>
        </w:rPr>
        <w:t>8位</w:t>
      </w:r>
      <w:r>
        <w:t>代码</w:t>
      </w:r>
      <w:r>
        <w:rPr>
          <w:rFonts w:hint="eastAsia"/>
        </w:rPr>
        <w:t>，</w:t>
      </w:r>
      <w:r>
        <w:t>其余</w:t>
      </w:r>
      <w:r>
        <w:rPr>
          <w:rFonts w:hint="eastAsia"/>
        </w:rPr>
        <w:t>6位</w:t>
      </w:r>
      <w:r>
        <w:t>取</w:t>
      </w:r>
      <w:r>
        <w:rPr>
          <w:rFonts w:hAnsi="宋体"/>
        </w:rPr>
        <w:t>“0”</w:t>
      </w:r>
      <w:r>
        <w:rPr>
          <w:rFonts w:hint="eastAsia"/>
        </w:rPr>
        <w:t>。</w:t>
      </w:r>
    </w:p>
    <w:bookmarkEnd w:id="49"/>
    <w:p w14:paraId="505D21E4">
      <w:pPr>
        <w:pStyle w:val="60"/>
        <w:ind w:firstLine="420"/>
      </w:pPr>
      <w:bookmarkStart w:id="72" w:name="_Toc63672941"/>
    </w:p>
    <w:p w14:paraId="245767BD">
      <w:pPr>
        <w:pStyle w:val="60"/>
        <w:ind w:firstLine="420"/>
        <w:sectPr>
          <w:pgSz w:w="11906" w:h="16838"/>
          <w:pgMar w:top="2410" w:right="1134" w:bottom="1134" w:left="1134" w:header="1418" w:footer="1134" w:gutter="284"/>
          <w:pgNumType w:start="1"/>
          <w:cols w:space="425" w:num="1"/>
          <w:formProt w:val="0"/>
          <w:docGrid w:type="lines" w:linePitch="312" w:charSpace="0"/>
        </w:sectPr>
      </w:pPr>
    </w:p>
    <w:bookmarkEnd w:id="26"/>
    <w:p w14:paraId="75081609">
      <w:pPr>
        <w:pStyle w:val="202"/>
      </w:pPr>
      <w:bookmarkStart w:id="73" w:name="BookMark5"/>
    </w:p>
    <w:p w14:paraId="1A0C7E8B">
      <w:pPr>
        <w:pStyle w:val="203"/>
      </w:pPr>
    </w:p>
    <w:p w14:paraId="79019E86">
      <w:pPr>
        <w:pStyle w:val="80"/>
        <w:spacing w:before="78" w:after="156"/>
      </w:pPr>
      <w:r>
        <w:br w:type="textWrapping"/>
      </w:r>
      <w:bookmarkStart w:id="74" w:name="_Toc197508802"/>
      <w:r>
        <w:rPr>
          <w:rFonts w:hint="eastAsia"/>
        </w:rPr>
        <w:t>（规范性）</w:t>
      </w:r>
      <w:r>
        <w:br w:type="textWrapping"/>
      </w:r>
      <w:r>
        <w:rPr>
          <w:rFonts w:hint="eastAsia"/>
        </w:rPr>
        <w:t>水务</w:t>
      </w:r>
      <w:r>
        <w:t>对象分类</w:t>
      </w:r>
      <w:bookmarkEnd w:id="74"/>
    </w:p>
    <w:p w14:paraId="63240640">
      <w:pPr>
        <w:pStyle w:val="60"/>
        <w:ind w:firstLine="420"/>
      </w:pPr>
      <w:r>
        <w:rPr>
          <w:rFonts w:hint="eastAsia"/>
        </w:rPr>
        <w:t>水务对象分类编码应符合表A.1的规定。</w:t>
      </w:r>
    </w:p>
    <w:p w14:paraId="519E7C1D">
      <w:pPr>
        <w:pStyle w:val="81"/>
        <w:spacing w:before="156" w:after="156" w:line="278" w:lineRule="auto"/>
      </w:pPr>
      <w:r>
        <w:rPr>
          <w:rFonts w:hint="eastAsia"/>
        </w:rPr>
        <w:t>水务对象</w:t>
      </w:r>
      <w:r>
        <w:t>分类编码表</w:t>
      </w:r>
    </w:p>
    <w:tbl>
      <w:tblPr>
        <w:tblStyle w:val="29"/>
        <w:tblW w:w="5000" w:type="pct"/>
        <w:tblInd w:w="0" w:type="dxa"/>
        <w:tblLayout w:type="autofit"/>
        <w:tblCellMar>
          <w:top w:w="0" w:type="dxa"/>
          <w:left w:w="108" w:type="dxa"/>
          <w:bottom w:w="0" w:type="dxa"/>
          <w:right w:w="108" w:type="dxa"/>
        </w:tblCellMar>
      </w:tblPr>
      <w:tblGrid>
        <w:gridCol w:w="836"/>
        <w:gridCol w:w="2132"/>
        <w:gridCol w:w="1960"/>
        <w:gridCol w:w="2682"/>
        <w:gridCol w:w="1960"/>
      </w:tblGrid>
      <w:tr w14:paraId="6325E635">
        <w:tblPrEx>
          <w:tblCellMar>
            <w:top w:w="0" w:type="dxa"/>
            <w:left w:w="108" w:type="dxa"/>
            <w:bottom w:w="0" w:type="dxa"/>
            <w:right w:w="108" w:type="dxa"/>
          </w:tblCellMar>
        </w:tblPrEx>
        <w:trPr>
          <w:tblHeader/>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DE2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14" w:type="pct"/>
            <w:tcBorders>
              <w:top w:val="single" w:color="auto" w:sz="4" w:space="0"/>
              <w:left w:val="nil"/>
              <w:bottom w:val="single" w:color="auto" w:sz="4" w:space="0"/>
              <w:right w:val="single" w:color="auto" w:sz="4" w:space="0"/>
            </w:tcBorders>
            <w:shd w:val="clear" w:color="auto" w:fill="auto"/>
            <w:noWrap/>
            <w:vAlign w:val="center"/>
          </w:tcPr>
          <w:p w14:paraId="05FC2E6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6A0C93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基础大类代码</w:t>
            </w: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16F91D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编码对象小类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30F2C22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对象分类代码</w:t>
            </w:r>
          </w:p>
        </w:tc>
      </w:tr>
      <w:tr w14:paraId="39C0C57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FD27C5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4F89DB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河流和湖泊</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0F7CF9C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w:t>
            </w:r>
          </w:p>
        </w:tc>
        <w:tc>
          <w:tcPr>
            <w:tcW w:w="1401" w:type="pct"/>
            <w:tcBorders>
              <w:top w:val="nil"/>
              <w:left w:val="nil"/>
              <w:bottom w:val="single" w:color="auto" w:sz="4" w:space="0"/>
              <w:right w:val="single" w:color="auto" w:sz="4" w:space="0"/>
            </w:tcBorders>
            <w:shd w:val="clear" w:color="000000" w:fill="FFFFFF"/>
            <w:vAlign w:val="center"/>
          </w:tcPr>
          <w:p w14:paraId="6904AD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河流</w:t>
            </w:r>
          </w:p>
        </w:tc>
        <w:tc>
          <w:tcPr>
            <w:tcW w:w="1024" w:type="pct"/>
            <w:tcBorders>
              <w:top w:val="nil"/>
              <w:left w:val="nil"/>
              <w:bottom w:val="single" w:color="auto" w:sz="4" w:space="0"/>
              <w:right w:val="single" w:color="auto" w:sz="4" w:space="0"/>
            </w:tcBorders>
            <w:shd w:val="clear" w:color="000000" w:fill="FFFFFF"/>
            <w:vAlign w:val="center"/>
          </w:tcPr>
          <w:p w14:paraId="43829D9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010001</w:t>
            </w:r>
          </w:p>
        </w:tc>
      </w:tr>
      <w:tr w14:paraId="5135F12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5A9BA6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1114" w:type="pct"/>
            <w:vMerge w:val="continue"/>
            <w:tcBorders>
              <w:top w:val="nil"/>
              <w:left w:val="single" w:color="auto" w:sz="4" w:space="0"/>
              <w:bottom w:val="single" w:color="auto" w:sz="4" w:space="0"/>
              <w:right w:val="single" w:color="auto" w:sz="4" w:space="0"/>
            </w:tcBorders>
            <w:vAlign w:val="center"/>
          </w:tcPr>
          <w:p w14:paraId="2F00AF5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BEE65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0214B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湖泊</w:t>
            </w:r>
          </w:p>
        </w:tc>
        <w:tc>
          <w:tcPr>
            <w:tcW w:w="1024" w:type="pct"/>
            <w:tcBorders>
              <w:top w:val="nil"/>
              <w:left w:val="nil"/>
              <w:bottom w:val="single" w:color="auto" w:sz="4" w:space="0"/>
              <w:right w:val="single" w:color="auto" w:sz="4" w:space="0"/>
            </w:tcBorders>
            <w:shd w:val="clear" w:color="000000" w:fill="FFFFFF"/>
            <w:vAlign w:val="center"/>
          </w:tcPr>
          <w:p w14:paraId="157E992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010002</w:t>
            </w:r>
          </w:p>
        </w:tc>
      </w:tr>
      <w:tr w14:paraId="0CF4BFF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71FB26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1114" w:type="pct"/>
            <w:vMerge w:val="continue"/>
            <w:tcBorders>
              <w:top w:val="nil"/>
              <w:left w:val="single" w:color="auto" w:sz="4" w:space="0"/>
              <w:bottom w:val="single" w:color="auto" w:sz="4" w:space="0"/>
              <w:right w:val="single" w:color="auto" w:sz="4" w:space="0"/>
            </w:tcBorders>
            <w:vAlign w:val="center"/>
          </w:tcPr>
          <w:p w14:paraId="62741D9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618892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2B9217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泉</w:t>
            </w:r>
          </w:p>
        </w:tc>
        <w:tc>
          <w:tcPr>
            <w:tcW w:w="1024" w:type="pct"/>
            <w:tcBorders>
              <w:top w:val="nil"/>
              <w:left w:val="nil"/>
              <w:bottom w:val="single" w:color="auto" w:sz="4" w:space="0"/>
              <w:right w:val="single" w:color="auto" w:sz="4" w:space="0"/>
            </w:tcBorders>
            <w:shd w:val="clear" w:color="000000" w:fill="FFFFFF"/>
            <w:vAlign w:val="center"/>
          </w:tcPr>
          <w:p w14:paraId="792BA1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010003</w:t>
            </w:r>
          </w:p>
        </w:tc>
      </w:tr>
      <w:tr w14:paraId="1EE140E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1B2117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7DE710E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水利工程</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254CF7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w:t>
            </w:r>
          </w:p>
        </w:tc>
        <w:tc>
          <w:tcPr>
            <w:tcW w:w="1401" w:type="pct"/>
            <w:tcBorders>
              <w:top w:val="nil"/>
              <w:left w:val="nil"/>
              <w:bottom w:val="single" w:color="auto" w:sz="4" w:space="0"/>
              <w:right w:val="single" w:color="auto" w:sz="4" w:space="0"/>
            </w:tcBorders>
            <w:shd w:val="clear" w:color="000000" w:fill="FFFFFF"/>
            <w:vAlign w:val="center"/>
          </w:tcPr>
          <w:p w14:paraId="407B32E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水库</w:t>
            </w:r>
          </w:p>
        </w:tc>
        <w:tc>
          <w:tcPr>
            <w:tcW w:w="1024" w:type="pct"/>
            <w:tcBorders>
              <w:top w:val="nil"/>
              <w:left w:val="nil"/>
              <w:bottom w:val="single" w:color="auto" w:sz="4" w:space="0"/>
              <w:right w:val="single" w:color="auto" w:sz="4" w:space="0"/>
            </w:tcBorders>
            <w:shd w:val="clear" w:color="000000" w:fill="FFFFFF"/>
            <w:vAlign w:val="center"/>
          </w:tcPr>
          <w:p w14:paraId="2176BBD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020001</w:t>
            </w:r>
          </w:p>
        </w:tc>
      </w:tr>
      <w:tr w14:paraId="020F13C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EF507B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p>
        </w:tc>
        <w:tc>
          <w:tcPr>
            <w:tcW w:w="1114" w:type="pct"/>
            <w:vMerge w:val="continue"/>
            <w:tcBorders>
              <w:top w:val="nil"/>
              <w:left w:val="single" w:color="auto" w:sz="4" w:space="0"/>
              <w:bottom w:val="single" w:color="auto" w:sz="4" w:space="0"/>
              <w:right w:val="single" w:color="auto" w:sz="4" w:space="0"/>
            </w:tcBorders>
            <w:vAlign w:val="center"/>
          </w:tcPr>
          <w:p w14:paraId="4741DA6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6C2AA1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02C093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水库大坝</w:t>
            </w:r>
          </w:p>
        </w:tc>
        <w:tc>
          <w:tcPr>
            <w:tcW w:w="1024" w:type="pct"/>
            <w:tcBorders>
              <w:top w:val="nil"/>
              <w:left w:val="nil"/>
              <w:bottom w:val="single" w:color="auto" w:sz="4" w:space="0"/>
              <w:right w:val="single" w:color="auto" w:sz="4" w:space="0"/>
            </w:tcBorders>
            <w:shd w:val="clear" w:color="000000" w:fill="FFFFFF"/>
            <w:vAlign w:val="center"/>
          </w:tcPr>
          <w:p w14:paraId="2AE07E1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020002</w:t>
            </w:r>
          </w:p>
        </w:tc>
      </w:tr>
      <w:tr w14:paraId="210C2FF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FF47D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w:t>
            </w:r>
          </w:p>
        </w:tc>
        <w:tc>
          <w:tcPr>
            <w:tcW w:w="1114" w:type="pct"/>
            <w:vMerge w:val="continue"/>
            <w:tcBorders>
              <w:top w:val="nil"/>
              <w:left w:val="single" w:color="auto" w:sz="4" w:space="0"/>
              <w:bottom w:val="single" w:color="auto" w:sz="4" w:space="0"/>
              <w:right w:val="single" w:color="auto" w:sz="4" w:space="0"/>
            </w:tcBorders>
            <w:vAlign w:val="center"/>
          </w:tcPr>
          <w:p w14:paraId="40CC168B">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ED16256">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1A6B6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水电站</w:t>
            </w:r>
          </w:p>
        </w:tc>
        <w:tc>
          <w:tcPr>
            <w:tcW w:w="1024" w:type="pct"/>
            <w:tcBorders>
              <w:top w:val="nil"/>
              <w:left w:val="nil"/>
              <w:bottom w:val="single" w:color="auto" w:sz="4" w:space="0"/>
              <w:right w:val="single" w:color="auto" w:sz="4" w:space="0"/>
            </w:tcBorders>
            <w:shd w:val="clear" w:color="000000" w:fill="FFFFFF"/>
            <w:vAlign w:val="center"/>
          </w:tcPr>
          <w:p w14:paraId="082C002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020003</w:t>
            </w:r>
          </w:p>
        </w:tc>
      </w:tr>
      <w:tr w14:paraId="468A71E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00A131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w:t>
            </w:r>
          </w:p>
        </w:tc>
        <w:tc>
          <w:tcPr>
            <w:tcW w:w="1114" w:type="pct"/>
            <w:vMerge w:val="continue"/>
            <w:tcBorders>
              <w:top w:val="nil"/>
              <w:left w:val="single" w:color="auto" w:sz="4" w:space="0"/>
              <w:bottom w:val="single" w:color="auto" w:sz="4" w:space="0"/>
              <w:right w:val="single" w:color="auto" w:sz="4" w:space="0"/>
            </w:tcBorders>
            <w:vAlign w:val="center"/>
          </w:tcPr>
          <w:p w14:paraId="1DBCD79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3BA5A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24A9D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水闸</w:t>
            </w:r>
          </w:p>
        </w:tc>
        <w:tc>
          <w:tcPr>
            <w:tcW w:w="1024" w:type="pct"/>
            <w:tcBorders>
              <w:top w:val="nil"/>
              <w:left w:val="nil"/>
              <w:bottom w:val="single" w:color="auto" w:sz="4" w:space="0"/>
              <w:right w:val="single" w:color="auto" w:sz="4" w:space="0"/>
            </w:tcBorders>
            <w:shd w:val="clear" w:color="000000" w:fill="FFFFFF"/>
            <w:vAlign w:val="center"/>
          </w:tcPr>
          <w:p w14:paraId="1AA40D6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020004</w:t>
            </w:r>
          </w:p>
        </w:tc>
      </w:tr>
      <w:tr w14:paraId="2C7E8C3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F72DF9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w:t>
            </w:r>
          </w:p>
        </w:tc>
        <w:tc>
          <w:tcPr>
            <w:tcW w:w="1114" w:type="pct"/>
            <w:vMerge w:val="continue"/>
            <w:tcBorders>
              <w:top w:val="nil"/>
              <w:left w:val="single" w:color="auto" w:sz="4" w:space="0"/>
              <w:bottom w:val="single" w:color="auto" w:sz="4" w:space="0"/>
              <w:right w:val="single" w:color="auto" w:sz="4" w:space="0"/>
            </w:tcBorders>
            <w:vAlign w:val="center"/>
          </w:tcPr>
          <w:p w14:paraId="092D56D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0AE44A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vAlign w:val="center"/>
          </w:tcPr>
          <w:p w14:paraId="42E437B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橡胶坝</w:t>
            </w:r>
          </w:p>
        </w:tc>
        <w:tc>
          <w:tcPr>
            <w:tcW w:w="1024" w:type="pct"/>
            <w:tcBorders>
              <w:top w:val="nil"/>
              <w:left w:val="nil"/>
              <w:bottom w:val="single" w:color="auto" w:sz="4" w:space="0"/>
              <w:right w:val="single" w:color="auto" w:sz="4" w:space="0"/>
            </w:tcBorders>
            <w:shd w:val="clear" w:color="000000" w:fill="FFFFFF"/>
            <w:vAlign w:val="center"/>
          </w:tcPr>
          <w:p w14:paraId="0D1D2C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020005</w:t>
            </w:r>
          </w:p>
        </w:tc>
      </w:tr>
      <w:tr w14:paraId="30552D4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7FCE7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w:t>
            </w:r>
          </w:p>
        </w:tc>
        <w:tc>
          <w:tcPr>
            <w:tcW w:w="1114" w:type="pct"/>
            <w:vMerge w:val="continue"/>
            <w:tcBorders>
              <w:top w:val="nil"/>
              <w:left w:val="single" w:color="auto" w:sz="4" w:space="0"/>
              <w:bottom w:val="single" w:color="auto" w:sz="4" w:space="0"/>
              <w:right w:val="single" w:color="auto" w:sz="4" w:space="0"/>
            </w:tcBorders>
            <w:vAlign w:val="center"/>
          </w:tcPr>
          <w:p w14:paraId="58CE925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608E7C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3323D12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蓄滞洪区</w:t>
            </w:r>
          </w:p>
        </w:tc>
        <w:tc>
          <w:tcPr>
            <w:tcW w:w="1024" w:type="pct"/>
            <w:tcBorders>
              <w:top w:val="nil"/>
              <w:left w:val="nil"/>
              <w:bottom w:val="single" w:color="auto" w:sz="4" w:space="0"/>
              <w:right w:val="single" w:color="auto" w:sz="4" w:space="0"/>
            </w:tcBorders>
            <w:shd w:val="clear" w:color="000000" w:fill="FFFFFF"/>
            <w:vAlign w:val="center"/>
          </w:tcPr>
          <w:p w14:paraId="44BDA83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020006</w:t>
            </w:r>
          </w:p>
        </w:tc>
      </w:tr>
      <w:tr w14:paraId="70812FD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46A48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p>
        </w:tc>
        <w:tc>
          <w:tcPr>
            <w:tcW w:w="1114" w:type="pct"/>
            <w:vMerge w:val="continue"/>
            <w:tcBorders>
              <w:top w:val="nil"/>
              <w:left w:val="single" w:color="auto" w:sz="4" w:space="0"/>
              <w:bottom w:val="single" w:color="auto" w:sz="4" w:space="0"/>
              <w:right w:val="single" w:color="auto" w:sz="4" w:space="0"/>
            </w:tcBorders>
            <w:vAlign w:val="center"/>
          </w:tcPr>
          <w:p w14:paraId="7CA49A8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DFE1BD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1384AD7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治河工程</w:t>
            </w:r>
          </w:p>
        </w:tc>
        <w:tc>
          <w:tcPr>
            <w:tcW w:w="1024" w:type="pct"/>
            <w:tcBorders>
              <w:top w:val="nil"/>
              <w:left w:val="nil"/>
              <w:bottom w:val="single" w:color="auto" w:sz="4" w:space="0"/>
              <w:right w:val="single" w:color="auto" w:sz="4" w:space="0"/>
            </w:tcBorders>
            <w:shd w:val="clear" w:color="000000" w:fill="FFFFFF"/>
            <w:vAlign w:val="center"/>
          </w:tcPr>
          <w:p w14:paraId="4B521A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020007</w:t>
            </w:r>
          </w:p>
        </w:tc>
      </w:tr>
      <w:tr w14:paraId="671B11D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5849CF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w:t>
            </w:r>
          </w:p>
        </w:tc>
        <w:tc>
          <w:tcPr>
            <w:tcW w:w="1114" w:type="pct"/>
            <w:vMerge w:val="continue"/>
            <w:tcBorders>
              <w:top w:val="nil"/>
              <w:left w:val="single" w:color="auto" w:sz="4" w:space="0"/>
              <w:bottom w:val="single" w:color="auto" w:sz="4" w:space="0"/>
              <w:right w:val="single" w:color="auto" w:sz="4" w:space="0"/>
            </w:tcBorders>
            <w:vAlign w:val="center"/>
          </w:tcPr>
          <w:p w14:paraId="27ADF92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8ED9C6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E9BD55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堤防</w:t>
            </w:r>
          </w:p>
        </w:tc>
        <w:tc>
          <w:tcPr>
            <w:tcW w:w="1024" w:type="pct"/>
            <w:tcBorders>
              <w:top w:val="nil"/>
              <w:left w:val="nil"/>
              <w:bottom w:val="single" w:color="auto" w:sz="4" w:space="0"/>
              <w:right w:val="single" w:color="auto" w:sz="4" w:space="0"/>
            </w:tcBorders>
            <w:shd w:val="clear" w:color="000000" w:fill="FFFFFF"/>
            <w:vAlign w:val="center"/>
          </w:tcPr>
          <w:p w14:paraId="5897FAB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020008</w:t>
            </w:r>
          </w:p>
        </w:tc>
      </w:tr>
      <w:tr w14:paraId="07513A9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AFBAD0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w:t>
            </w:r>
          </w:p>
        </w:tc>
        <w:tc>
          <w:tcPr>
            <w:tcW w:w="1114" w:type="pct"/>
            <w:vMerge w:val="continue"/>
            <w:tcBorders>
              <w:top w:val="nil"/>
              <w:left w:val="single" w:color="auto" w:sz="4" w:space="0"/>
              <w:bottom w:val="single" w:color="auto" w:sz="4" w:space="0"/>
              <w:right w:val="single" w:color="auto" w:sz="4" w:space="0"/>
            </w:tcBorders>
            <w:vAlign w:val="center"/>
          </w:tcPr>
          <w:p w14:paraId="190E7AD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F5F6AF4">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0DE3D2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渡槽</w:t>
            </w:r>
          </w:p>
        </w:tc>
        <w:tc>
          <w:tcPr>
            <w:tcW w:w="1024" w:type="pct"/>
            <w:tcBorders>
              <w:top w:val="nil"/>
              <w:left w:val="nil"/>
              <w:bottom w:val="single" w:color="auto" w:sz="4" w:space="0"/>
              <w:right w:val="single" w:color="auto" w:sz="4" w:space="0"/>
            </w:tcBorders>
            <w:shd w:val="clear" w:color="000000" w:fill="FFFFFF"/>
            <w:vAlign w:val="center"/>
          </w:tcPr>
          <w:p w14:paraId="06E1C22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020009</w:t>
            </w:r>
          </w:p>
        </w:tc>
      </w:tr>
      <w:tr w14:paraId="05076AB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996B21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w:t>
            </w:r>
          </w:p>
        </w:tc>
        <w:tc>
          <w:tcPr>
            <w:tcW w:w="1114" w:type="pct"/>
            <w:vMerge w:val="continue"/>
            <w:tcBorders>
              <w:top w:val="nil"/>
              <w:left w:val="single" w:color="auto" w:sz="4" w:space="0"/>
              <w:bottom w:val="single" w:color="auto" w:sz="4" w:space="0"/>
              <w:right w:val="single" w:color="auto" w:sz="4" w:space="0"/>
            </w:tcBorders>
            <w:vAlign w:val="center"/>
          </w:tcPr>
          <w:p w14:paraId="794BF9C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7BF4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5D46D9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倒虹吸</w:t>
            </w:r>
          </w:p>
        </w:tc>
        <w:tc>
          <w:tcPr>
            <w:tcW w:w="1024" w:type="pct"/>
            <w:tcBorders>
              <w:top w:val="nil"/>
              <w:left w:val="nil"/>
              <w:bottom w:val="single" w:color="auto" w:sz="4" w:space="0"/>
              <w:right w:val="single" w:color="auto" w:sz="4" w:space="0"/>
            </w:tcBorders>
            <w:shd w:val="clear" w:color="000000" w:fill="FFFFFF"/>
            <w:vAlign w:val="center"/>
          </w:tcPr>
          <w:p w14:paraId="6B7C521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020010</w:t>
            </w:r>
          </w:p>
        </w:tc>
      </w:tr>
      <w:tr w14:paraId="4858F57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6F520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w:t>
            </w:r>
          </w:p>
        </w:tc>
        <w:tc>
          <w:tcPr>
            <w:tcW w:w="1114" w:type="pct"/>
            <w:vMerge w:val="continue"/>
            <w:tcBorders>
              <w:top w:val="nil"/>
              <w:left w:val="single" w:color="auto" w:sz="4" w:space="0"/>
              <w:bottom w:val="single" w:color="auto" w:sz="4" w:space="0"/>
              <w:right w:val="single" w:color="auto" w:sz="4" w:space="0"/>
            </w:tcBorders>
            <w:vAlign w:val="center"/>
          </w:tcPr>
          <w:p w14:paraId="0B80DA1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D09419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422CA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泵站</w:t>
            </w:r>
          </w:p>
        </w:tc>
        <w:tc>
          <w:tcPr>
            <w:tcW w:w="1024" w:type="pct"/>
            <w:tcBorders>
              <w:top w:val="nil"/>
              <w:left w:val="nil"/>
              <w:bottom w:val="single" w:color="auto" w:sz="4" w:space="0"/>
              <w:right w:val="single" w:color="auto" w:sz="4" w:space="0"/>
            </w:tcBorders>
            <w:shd w:val="clear" w:color="000000" w:fill="FFFFFF"/>
            <w:vAlign w:val="center"/>
          </w:tcPr>
          <w:p w14:paraId="54127E8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020011</w:t>
            </w:r>
          </w:p>
        </w:tc>
      </w:tr>
      <w:tr w14:paraId="69C4D2D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24DBC0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15</w:t>
            </w:r>
          </w:p>
        </w:tc>
        <w:tc>
          <w:tcPr>
            <w:tcW w:w="1114" w:type="pct"/>
            <w:vMerge w:val="continue"/>
            <w:tcBorders>
              <w:top w:val="nil"/>
              <w:left w:val="single" w:color="auto" w:sz="4" w:space="0"/>
              <w:bottom w:val="single" w:color="auto" w:sz="4" w:space="0"/>
              <w:right w:val="single" w:color="auto" w:sz="4" w:space="0"/>
            </w:tcBorders>
            <w:vAlign w:val="center"/>
          </w:tcPr>
          <w:p w14:paraId="796402D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B5466F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D3A3B0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涵洞</w:t>
            </w:r>
          </w:p>
        </w:tc>
        <w:tc>
          <w:tcPr>
            <w:tcW w:w="1024" w:type="pct"/>
            <w:tcBorders>
              <w:top w:val="nil"/>
              <w:left w:val="nil"/>
              <w:bottom w:val="single" w:color="auto" w:sz="4" w:space="0"/>
              <w:right w:val="single" w:color="auto" w:sz="4" w:space="0"/>
            </w:tcBorders>
            <w:shd w:val="clear" w:color="000000" w:fill="FFFFFF"/>
            <w:vAlign w:val="center"/>
          </w:tcPr>
          <w:p w14:paraId="1BE8EE6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020012</w:t>
            </w:r>
          </w:p>
        </w:tc>
      </w:tr>
      <w:tr w14:paraId="1B24280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680007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16</w:t>
            </w:r>
          </w:p>
        </w:tc>
        <w:tc>
          <w:tcPr>
            <w:tcW w:w="1114" w:type="pct"/>
            <w:vMerge w:val="continue"/>
            <w:tcBorders>
              <w:top w:val="nil"/>
              <w:left w:val="single" w:color="auto" w:sz="4" w:space="0"/>
              <w:bottom w:val="single" w:color="auto" w:sz="4" w:space="0"/>
              <w:right w:val="single" w:color="auto" w:sz="4" w:space="0"/>
            </w:tcBorders>
            <w:vAlign w:val="center"/>
          </w:tcPr>
          <w:p w14:paraId="175ADB6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993FB6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7E665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引调水工程</w:t>
            </w:r>
          </w:p>
        </w:tc>
        <w:tc>
          <w:tcPr>
            <w:tcW w:w="1024" w:type="pct"/>
            <w:tcBorders>
              <w:top w:val="nil"/>
              <w:left w:val="nil"/>
              <w:bottom w:val="single" w:color="auto" w:sz="4" w:space="0"/>
              <w:right w:val="single" w:color="auto" w:sz="4" w:space="0"/>
            </w:tcBorders>
            <w:shd w:val="clear" w:color="000000" w:fill="FFFFFF"/>
            <w:vAlign w:val="center"/>
          </w:tcPr>
          <w:p w14:paraId="7870770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020013</w:t>
            </w:r>
          </w:p>
        </w:tc>
      </w:tr>
      <w:tr w14:paraId="5912F03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125B33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17</w:t>
            </w:r>
          </w:p>
        </w:tc>
        <w:tc>
          <w:tcPr>
            <w:tcW w:w="1114" w:type="pct"/>
            <w:vMerge w:val="continue"/>
            <w:tcBorders>
              <w:top w:val="nil"/>
              <w:left w:val="single" w:color="auto" w:sz="4" w:space="0"/>
              <w:bottom w:val="single" w:color="auto" w:sz="4" w:space="0"/>
              <w:right w:val="single" w:color="auto" w:sz="4" w:space="0"/>
            </w:tcBorders>
            <w:vAlign w:val="center"/>
          </w:tcPr>
          <w:p w14:paraId="0D2F1D8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3AEC20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D45C0F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淤地坝</w:t>
            </w:r>
          </w:p>
        </w:tc>
        <w:tc>
          <w:tcPr>
            <w:tcW w:w="1024" w:type="pct"/>
            <w:tcBorders>
              <w:top w:val="nil"/>
              <w:left w:val="nil"/>
              <w:bottom w:val="single" w:color="auto" w:sz="4" w:space="0"/>
              <w:right w:val="single" w:color="auto" w:sz="4" w:space="0"/>
            </w:tcBorders>
            <w:shd w:val="clear" w:color="000000" w:fill="FFFFFF"/>
            <w:vAlign w:val="center"/>
          </w:tcPr>
          <w:p w14:paraId="63909BD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020014</w:t>
            </w:r>
          </w:p>
        </w:tc>
      </w:tr>
      <w:tr w14:paraId="4EF642E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BD80C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18</w:t>
            </w:r>
          </w:p>
        </w:tc>
        <w:tc>
          <w:tcPr>
            <w:tcW w:w="1114" w:type="pct"/>
            <w:vMerge w:val="continue"/>
            <w:tcBorders>
              <w:top w:val="nil"/>
              <w:left w:val="single" w:color="auto" w:sz="4" w:space="0"/>
              <w:bottom w:val="single" w:color="auto" w:sz="4" w:space="0"/>
              <w:right w:val="single" w:color="auto" w:sz="4" w:space="0"/>
            </w:tcBorders>
            <w:vAlign w:val="center"/>
          </w:tcPr>
          <w:p w14:paraId="5AE42DE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BF849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2F80D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塘坝</w:t>
            </w:r>
          </w:p>
        </w:tc>
        <w:tc>
          <w:tcPr>
            <w:tcW w:w="1024" w:type="pct"/>
            <w:tcBorders>
              <w:top w:val="nil"/>
              <w:left w:val="nil"/>
              <w:bottom w:val="single" w:color="auto" w:sz="4" w:space="0"/>
              <w:right w:val="single" w:color="auto" w:sz="4" w:space="0"/>
            </w:tcBorders>
            <w:shd w:val="clear" w:color="000000" w:fill="FFFFFF"/>
            <w:vAlign w:val="center"/>
          </w:tcPr>
          <w:p w14:paraId="3F9C3A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020015</w:t>
            </w:r>
          </w:p>
        </w:tc>
      </w:tr>
      <w:tr w14:paraId="7EEB9DB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015AA1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19</w:t>
            </w:r>
          </w:p>
        </w:tc>
        <w:tc>
          <w:tcPr>
            <w:tcW w:w="1114" w:type="pct"/>
            <w:vMerge w:val="continue"/>
            <w:tcBorders>
              <w:top w:val="nil"/>
              <w:left w:val="single" w:color="auto" w:sz="4" w:space="0"/>
              <w:bottom w:val="single" w:color="auto" w:sz="4" w:space="0"/>
              <w:right w:val="single" w:color="auto" w:sz="4" w:space="0"/>
            </w:tcBorders>
            <w:vAlign w:val="center"/>
          </w:tcPr>
          <w:p w14:paraId="346B43C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9451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8B1E8A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窖池</w:t>
            </w:r>
          </w:p>
        </w:tc>
        <w:tc>
          <w:tcPr>
            <w:tcW w:w="1024" w:type="pct"/>
            <w:tcBorders>
              <w:top w:val="nil"/>
              <w:left w:val="nil"/>
              <w:bottom w:val="single" w:color="auto" w:sz="4" w:space="0"/>
              <w:right w:val="single" w:color="auto" w:sz="4" w:space="0"/>
            </w:tcBorders>
            <w:shd w:val="clear" w:color="000000" w:fill="FFFFFF"/>
            <w:vAlign w:val="center"/>
          </w:tcPr>
          <w:p w14:paraId="5F1F26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020016</w:t>
            </w:r>
          </w:p>
        </w:tc>
      </w:tr>
      <w:tr w14:paraId="587084D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40A6A5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20</w:t>
            </w:r>
          </w:p>
        </w:tc>
        <w:tc>
          <w:tcPr>
            <w:tcW w:w="1114" w:type="pct"/>
            <w:vMerge w:val="continue"/>
            <w:tcBorders>
              <w:top w:val="nil"/>
              <w:left w:val="single" w:color="auto" w:sz="4" w:space="0"/>
              <w:bottom w:val="single" w:color="auto" w:sz="4" w:space="0"/>
              <w:right w:val="single" w:color="auto" w:sz="4" w:space="0"/>
            </w:tcBorders>
            <w:vAlign w:val="center"/>
          </w:tcPr>
          <w:p w14:paraId="3D66E5B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E1022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07536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河道内单位</w:t>
            </w:r>
          </w:p>
        </w:tc>
        <w:tc>
          <w:tcPr>
            <w:tcW w:w="1024" w:type="pct"/>
            <w:tcBorders>
              <w:top w:val="nil"/>
              <w:left w:val="nil"/>
              <w:bottom w:val="single" w:color="auto" w:sz="4" w:space="0"/>
              <w:right w:val="single" w:color="auto" w:sz="4" w:space="0"/>
            </w:tcBorders>
            <w:shd w:val="clear" w:color="000000" w:fill="FFFFFF"/>
            <w:vAlign w:val="center"/>
          </w:tcPr>
          <w:p w14:paraId="2DB6ACF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020017</w:t>
            </w:r>
          </w:p>
        </w:tc>
      </w:tr>
      <w:tr w14:paraId="7D58E0C0">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3719D5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21</w:t>
            </w:r>
          </w:p>
        </w:tc>
        <w:tc>
          <w:tcPr>
            <w:tcW w:w="1114" w:type="pct"/>
            <w:vMerge w:val="continue"/>
            <w:tcBorders>
              <w:top w:val="nil"/>
              <w:left w:val="single" w:color="auto" w:sz="4" w:space="0"/>
              <w:bottom w:val="single" w:color="auto" w:sz="4" w:space="0"/>
              <w:right w:val="single" w:color="auto" w:sz="4" w:space="0"/>
            </w:tcBorders>
            <w:vAlign w:val="center"/>
          </w:tcPr>
          <w:p w14:paraId="4AA6FB2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316A63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FCD0BF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防汛仓库（汛铺）</w:t>
            </w:r>
          </w:p>
        </w:tc>
        <w:tc>
          <w:tcPr>
            <w:tcW w:w="1024" w:type="pct"/>
            <w:tcBorders>
              <w:top w:val="nil"/>
              <w:left w:val="nil"/>
              <w:bottom w:val="single" w:color="auto" w:sz="4" w:space="0"/>
              <w:right w:val="single" w:color="auto" w:sz="4" w:space="0"/>
            </w:tcBorders>
            <w:shd w:val="clear" w:color="000000" w:fill="FFFFFF"/>
            <w:vAlign w:val="center"/>
          </w:tcPr>
          <w:p w14:paraId="3DE33BB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020018</w:t>
            </w:r>
          </w:p>
        </w:tc>
      </w:tr>
      <w:tr w14:paraId="2319930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FDA13E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w:t>
            </w:r>
          </w:p>
        </w:tc>
        <w:tc>
          <w:tcPr>
            <w:tcW w:w="1114" w:type="pct"/>
            <w:vMerge w:val="continue"/>
            <w:tcBorders>
              <w:top w:val="nil"/>
              <w:left w:val="single" w:color="auto" w:sz="4" w:space="0"/>
              <w:bottom w:val="single" w:color="auto" w:sz="4" w:space="0"/>
              <w:right w:val="single" w:color="auto" w:sz="4" w:space="0"/>
            </w:tcBorders>
            <w:vAlign w:val="center"/>
          </w:tcPr>
          <w:p w14:paraId="089C252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61DDAB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648D23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渠（沟）道</w:t>
            </w:r>
          </w:p>
        </w:tc>
        <w:tc>
          <w:tcPr>
            <w:tcW w:w="1024" w:type="pct"/>
            <w:tcBorders>
              <w:top w:val="nil"/>
              <w:left w:val="nil"/>
              <w:bottom w:val="single" w:color="auto" w:sz="4" w:space="0"/>
              <w:right w:val="single" w:color="auto" w:sz="4" w:space="0"/>
            </w:tcBorders>
            <w:shd w:val="clear" w:color="000000" w:fill="FFFFFF"/>
            <w:vAlign w:val="center"/>
          </w:tcPr>
          <w:p w14:paraId="55BCD22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020019</w:t>
            </w:r>
          </w:p>
        </w:tc>
      </w:tr>
      <w:tr w14:paraId="0806249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8D1D5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w:t>
            </w:r>
          </w:p>
        </w:tc>
        <w:tc>
          <w:tcPr>
            <w:tcW w:w="1114" w:type="pct"/>
            <w:vMerge w:val="restart"/>
            <w:tcBorders>
              <w:top w:val="nil"/>
              <w:left w:val="single" w:color="auto" w:sz="4" w:space="0"/>
              <w:bottom w:val="single" w:color="000000" w:sz="4" w:space="0"/>
              <w:right w:val="single" w:color="auto" w:sz="4" w:space="0"/>
            </w:tcBorders>
            <w:shd w:val="clear" w:color="000000" w:fill="FFFFFF"/>
            <w:vAlign w:val="center"/>
          </w:tcPr>
          <w:p w14:paraId="292E46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测站</w:t>
            </w:r>
          </w:p>
        </w:tc>
        <w:tc>
          <w:tcPr>
            <w:tcW w:w="1024" w:type="pct"/>
            <w:vMerge w:val="restart"/>
            <w:tcBorders>
              <w:top w:val="nil"/>
              <w:left w:val="single" w:color="auto" w:sz="4" w:space="0"/>
              <w:bottom w:val="single" w:color="000000" w:sz="4" w:space="0"/>
              <w:right w:val="single" w:color="auto" w:sz="4" w:space="0"/>
            </w:tcBorders>
            <w:shd w:val="clear" w:color="000000" w:fill="FFFFFF"/>
            <w:vAlign w:val="center"/>
          </w:tcPr>
          <w:p w14:paraId="67C0E73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w:t>
            </w:r>
          </w:p>
        </w:tc>
        <w:tc>
          <w:tcPr>
            <w:tcW w:w="1401" w:type="pct"/>
            <w:tcBorders>
              <w:top w:val="nil"/>
              <w:left w:val="nil"/>
              <w:bottom w:val="single" w:color="auto" w:sz="4" w:space="0"/>
              <w:right w:val="single" w:color="auto" w:sz="4" w:space="0"/>
            </w:tcBorders>
            <w:shd w:val="clear" w:color="000000" w:fill="FFFFFF"/>
            <w:vAlign w:val="center"/>
          </w:tcPr>
          <w:p w14:paraId="79E62C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水文监测站</w:t>
            </w:r>
          </w:p>
        </w:tc>
        <w:tc>
          <w:tcPr>
            <w:tcW w:w="1024" w:type="pct"/>
            <w:tcBorders>
              <w:top w:val="nil"/>
              <w:left w:val="nil"/>
              <w:bottom w:val="single" w:color="auto" w:sz="4" w:space="0"/>
              <w:right w:val="single" w:color="auto" w:sz="4" w:space="0"/>
            </w:tcBorders>
            <w:shd w:val="clear" w:color="000000" w:fill="FFFFFF"/>
            <w:vAlign w:val="center"/>
          </w:tcPr>
          <w:p w14:paraId="25528C5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030001</w:t>
            </w:r>
          </w:p>
        </w:tc>
      </w:tr>
      <w:tr w14:paraId="3A90CC9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10F27A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w:t>
            </w:r>
          </w:p>
        </w:tc>
        <w:tc>
          <w:tcPr>
            <w:tcW w:w="1114" w:type="pct"/>
            <w:vMerge w:val="continue"/>
            <w:tcBorders>
              <w:top w:val="nil"/>
              <w:left w:val="single" w:color="auto" w:sz="4" w:space="0"/>
              <w:bottom w:val="single" w:color="000000" w:sz="4" w:space="0"/>
              <w:right w:val="single" w:color="auto" w:sz="4" w:space="0"/>
            </w:tcBorders>
            <w:vAlign w:val="center"/>
          </w:tcPr>
          <w:p w14:paraId="77BFE72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1021E06E">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316C684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水土保持监测站</w:t>
            </w:r>
          </w:p>
        </w:tc>
        <w:tc>
          <w:tcPr>
            <w:tcW w:w="1024" w:type="pct"/>
            <w:tcBorders>
              <w:top w:val="nil"/>
              <w:left w:val="nil"/>
              <w:bottom w:val="single" w:color="auto" w:sz="4" w:space="0"/>
              <w:right w:val="single" w:color="auto" w:sz="4" w:space="0"/>
            </w:tcBorders>
            <w:shd w:val="clear" w:color="000000" w:fill="FFFFFF"/>
            <w:vAlign w:val="center"/>
          </w:tcPr>
          <w:p w14:paraId="7909157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030002</w:t>
            </w:r>
          </w:p>
        </w:tc>
      </w:tr>
      <w:tr w14:paraId="37B0886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B5843D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25</w:t>
            </w:r>
          </w:p>
        </w:tc>
        <w:tc>
          <w:tcPr>
            <w:tcW w:w="1114" w:type="pct"/>
            <w:vMerge w:val="continue"/>
            <w:tcBorders>
              <w:top w:val="nil"/>
              <w:left w:val="single" w:color="auto" w:sz="4" w:space="0"/>
              <w:bottom w:val="single" w:color="000000" w:sz="4" w:space="0"/>
              <w:right w:val="single" w:color="auto" w:sz="4" w:space="0"/>
            </w:tcBorders>
            <w:vAlign w:val="center"/>
          </w:tcPr>
          <w:p w14:paraId="1A68272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1CA084BB">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80E5A0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水质测站</w:t>
            </w:r>
          </w:p>
        </w:tc>
        <w:tc>
          <w:tcPr>
            <w:tcW w:w="1024" w:type="pct"/>
            <w:tcBorders>
              <w:top w:val="nil"/>
              <w:left w:val="nil"/>
              <w:bottom w:val="single" w:color="auto" w:sz="4" w:space="0"/>
              <w:right w:val="single" w:color="auto" w:sz="4" w:space="0"/>
            </w:tcBorders>
            <w:shd w:val="clear" w:color="000000" w:fill="FFFFFF"/>
            <w:vAlign w:val="center"/>
          </w:tcPr>
          <w:p w14:paraId="6B926DD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030003</w:t>
            </w:r>
          </w:p>
        </w:tc>
      </w:tr>
      <w:tr w14:paraId="2D0E682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444DB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w:t>
            </w:r>
          </w:p>
        </w:tc>
        <w:tc>
          <w:tcPr>
            <w:tcW w:w="1114" w:type="pct"/>
            <w:vMerge w:val="continue"/>
            <w:tcBorders>
              <w:top w:val="nil"/>
              <w:left w:val="single" w:color="auto" w:sz="4" w:space="0"/>
              <w:bottom w:val="single" w:color="000000" w:sz="4" w:space="0"/>
              <w:right w:val="single" w:color="auto" w:sz="4" w:space="0"/>
            </w:tcBorders>
            <w:vAlign w:val="center"/>
          </w:tcPr>
          <w:p w14:paraId="7D0154C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0327AB3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198682F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地下水监测井</w:t>
            </w:r>
          </w:p>
        </w:tc>
        <w:tc>
          <w:tcPr>
            <w:tcW w:w="1024" w:type="pct"/>
            <w:tcBorders>
              <w:top w:val="nil"/>
              <w:left w:val="nil"/>
              <w:bottom w:val="single" w:color="auto" w:sz="4" w:space="0"/>
              <w:right w:val="single" w:color="auto" w:sz="4" w:space="0"/>
            </w:tcBorders>
            <w:shd w:val="clear" w:color="000000" w:fill="FFFFFF"/>
            <w:vAlign w:val="center"/>
          </w:tcPr>
          <w:p w14:paraId="72C0947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030004</w:t>
            </w:r>
          </w:p>
        </w:tc>
      </w:tr>
      <w:tr w14:paraId="70EEA5F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092D8B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27</w:t>
            </w:r>
          </w:p>
        </w:tc>
        <w:tc>
          <w:tcPr>
            <w:tcW w:w="1114" w:type="pct"/>
            <w:vMerge w:val="continue"/>
            <w:tcBorders>
              <w:top w:val="nil"/>
              <w:left w:val="single" w:color="auto" w:sz="4" w:space="0"/>
              <w:bottom w:val="single" w:color="000000" w:sz="4" w:space="0"/>
              <w:right w:val="single" w:color="auto" w:sz="4" w:space="0"/>
            </w:tcBorders>
            <w:vAlign w:val="center"/>
          </w:tcPr>
          <w:p w14:paraId="65D88C9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4170DCE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D24942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雨量站</w:t>
            </w:r>
          </w:p>
        </w:tc>
        <w:tc>
          <w:tcPr>
            <w:tcW w:w="1024" w:type="pct"/>
            <w:tcBorders>
              <w:top w:val="nil"/>
              <w:left w:val="nil"/>
              <w:bottom w:val="single" w:color="auto" w:sz="4" w:space="0"/>
              <w:right w:val="single" w:color="auto" w:sz="4" w:space="0"/>
            </w:tcBorders>
            <w:shd w:val="clear" w:color="000000" w:fill="FFFFFF"/>
            <w:vAlign w:val="center"/>
          </w:tcPr>
          <w:p w14:paraId="4B27386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030005</w:t>
            </w:r>
          </w:p>
        </w:tc>
      </w:tr>
      <w:tr w14:paraId="5E9EFC2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52C2F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28</w:t>
            </w:r>
          </w:p>
        </w:tc>
        <w:tc>
          <w:tcPr>
            <w:tcW w:w="1114" w:type="pct"/>
            <w:vMerge w:val="continue"/>
            <w:tcBorders>
              <w:top w:val="nil"/>
              <w:left w:val="single" w:color="auto" w:sz="4" w:space="0"/>
              <w:bottom w:val="single" w:color="000000" w:sz="4" w:space="0"/>
              <w:right w:val="single" w:color="auto" w:sz="4" w:space="0"/>
            </w:tcBorders>
            <w:vAlign w:val="center"/>
          </w:tcPr>
          <w:p w14:paraId="40EB319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5231564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B6FE80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墒情监测站</w:t>
            </w:r>
          </w:p>
        </w:tc>
        <w:tc>
          <w:tcPr>
            <w:tcW w:w="1024" w:type="pct"/>
            <w:tcBorders>
              <w:top w:val="nil"/>
              <w:left w:val="nil"/>
              <w:bottom w:val="single" w:color="auto" w:sz="4" w:space="0"/>
              <w:right w:val="single" w:color="auto" w:sz="4" w:space="0"/>
            </w:tcBorders>
            <w:shd w:val="clear" w:color="000000" w:fill="FFFFFF"/>
            <w:vAlign w:val="center"/>
          </w:tcPr>
          <w:p w14:paraId="1862216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030006</w:t>
            </w:r>
          </w:p>
        </w:tc>
      </w:tr>
      <w:tr w14:paraId="609564F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C6A02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29</w:t>
            </w:r>
          </w:p>
        </w:tc>
        <w:tc>
          <w:tcPr>
            <w:tcW w:w="1114" w:type="pct"/>
            <w:vMerge w:val="continue"/>
            <w:tcBorders>
              <w:top w:val="nil"/>
              <w:left w:val="single" w:color="auto" w:sz="4" w:space="0"/>
              <w:bottom w:val="single" w:color="000000" w:sz="4" w:space="0"/>
              <w:right w:val="single" w:color="auto" w:sz="4" w:space="0"/>
            </w:tcBorders>
            <w:vAlign w:val="center"/>
          </w:tcPr>
          <w:p w14:paraId="33753DD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31BA3E9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BAEA77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水生态监测站</w:t>
            </w:r>
          </w:p>
        </w:tc>
        <w:tc>
          <w:tcPr>
            <w:tcW w:w="1024" w:type="pct"/>
            <w:tcBorders>
              <w:top w:val="nil"/>
              <w:left w:val="nil"/>
              <w:bottom w:val="single" w:color="auto" w:sz="4" w:space="0"/>
              <w:right w:val="single" w:color="auto" w:sz="4" w:space="0"/>
            </w:tcBorders>
            <w:shd w:val="clear" w:color="000000" w:fill="FFFFFF"/>
            <w:vAlign w:val="center"/>
          </w:tcPr>
          <w:p w14:paraId="74EB4D8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030007</w:t>
            </w:r>
          </w:p>
        </w:tc>
      </w:tr>
      <w:tr w14:paraId="68DCAEB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D06C12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30</w:t>
            </w:r>
          </w:p>
        </w:tc>
        <w:tc>
          <w:tcPr>
            <w:tcW w:w="1114" w:type="pct"/>
            <w:vMerge w:val="restart"/>
            <w:tcBorders>
              <w:top w:val="nil"/>
              <w:left w:val="single" w:color="auto" w:sz="4" w:space="0"/>
              <w:right w:val="single" w:color="auto" w:sz="4" w:space="0"/>
            </w:tcBorders>
            <w:shd w:val="clear" w:color="auto" w:fill="auto"/>
            <w:vAlign w:val="center"/>
          </w:tcPr>
          <w:p w14:paraId="12697B4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供水</w:t>
            </w:r>
          </w:p>
        </w:tc>
        <w:tc>
          <w:tcPr>
            <w:tcW w:w="1024" w:type="pct"/>
            <w:vMerge w:val="restart"/>
            <w:tcBorders>
              <w:top w:val="nil"/>
              <w:left w:val="single" w:color="auto" w:sz="4" w:space="0"/>
              <w:right w:val="single" w:color="auto" w:sz="4" w:space="0"/>
            </w:tcBorders>
            <w:shd w:val="clear" w:color="000000" w:fill="FFFFFF"/>
            <w:vAlign w:val="center"/>
          </w:tcPr>
          <w:p w14:paraId="1081C3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w:t>
            </w:r>
          </w:p>
        </w:tc>
        <w:tc>
          <w:tcPr>
            <w:tcW w:w="1401" w:type="pct"/>
            <w:tcBorders>
              <w:top w:val="nil"/>
              <w:left w:val="nil"/>
              <w:bottom w:val="single" w:color="auto" w:sz="4" w:space="0"/>
              <w:right w:val="single" w:color="auto" w:sz="4" w:space="0"/>
            </w:tcBorders>
            <w:shd w:val="clear" w:color="auto" w:fill="auto"/>
            <w:noWrap/>
            <w:vAlign w:val="center"/>
          </w:tcPr>
          <w:p w14:paraId="052CFFF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城镇公共供水厂</w:t>
            </w:r>
          </w:p>
        </w:tc>
        <w:tc>
          <w:tcPr>
            <w:tcW w:w="1024" w:type="pct"/>
            <w:tcBorders>
              <w:top w:val="nil"/>
              <w:left w:val="nil"/>
              <w:bottom w:val="single" w:color="auto" w:sz="4" w:space="0"/>
              <w:right w:val="single" w:color="auto" w:sz="4" w:space="0"/>
            </w:tcBorders>
            <w:shd w:val="clear" w:color="000000" w:fill="FFFFFF"/>
            <w:vAlign w:val="center"/>
          </w:tcPr>
          <w:p w14:paraId="3432E94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040001</w:t>
            </w:r>
          </w:p>
        </w:tc>
      </w:tr>
      <w:tr w14:paraId="243440CA">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right w:val="single" w:color="auto" w:sz="4" w:space="0"/>
            </w:tcBorders>
            <w:shd w:val="clear" w:color="auto" w:fill="auto"/>
            <w:noWrap/>
            <w:vAlign w:val="center"/>
          </w:tcPr>
          <w:p w14:paraId="3B6E123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31</w:t>
            </w:r>
          </w:p>
        </w:tc>
        <w:tc>
          <w:tcPr>
            <w:tcW w:w="1114" w:type="pct"/>
            <w:vMerge w:val="continue"/>
            <w:tcBorders>
              <w:left w:val="single" w:color="auto" w:sz="4" w:space="0"/>
              <w:right w:val="single" w:color="auto" w:sz="4" w:space="0"/>
            </w:tcBorders>
            <w:vAlign w:val="center"/>
          </w:tcPr>
          <w:p w14:paraId="795AF6CB">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right w:val="single" w:color="auto" w:sz="4" w:space="0"/>
            </w:tcBorders>
            <w:vAlign w:val="center"/>
          </w:tcPr>
          <w:p w14:paraId="72E309A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2B0EF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乡镇集中供水厂</w:t>
            </w:r>
          </w:p>
        </w:tc>
        <w:tc>
          <w:tcPr>
            <w:tcW w:w="1024" w:type="pct"/>
            <w:tcBorders>
              <w:top w:val="nil"/>
              <w:left w:val="nil"/>
              <w:bottom w:val="single" w:color="auto" w:sz="4" w:space="0"/>
              <w:right w:val="single" w:color="auto" w:sz="4" w:space="0"/>
            </w:tcBorders>
            <w:shd w:val="clear" w:color="000000" w:fill="FFFFFF"/>
            <w:vAlign w:val="center"/>
          </w:tcPr>
          <w:p w14:paraId="1F74C96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040002</w:t>
            </w:r>
          </w:p>
        </w:tc>
      </w:tr>
      <w:tr w14:paraId="0446E9A1">
        <w:tblPrEx>
          <w:tblCellMar>
            <w:top w:w="0" w:type="dxa"/>
            <w:left w:w="108" w:type="dxa"/>
            <w:bottom w:w="0" w:type="dxa"/>
            <w:right w:w="108" w:type="dxa"/>
          </w:tblCellMar>
        </w:tblPrEx>
        <w:trPr>
          <w:trHeight w:val="15" w:hRule="atLeast"/>
        </w:trPr>
        <w:tc>
          <w:tcPr>
            <w:tcW w:w="437" w:type="pct"/>
            <w:vMerge w:val="continue"/>
            <w:tcBorders>
              <w:left w:val="single" w:color="auto" w:sz="4" w:space="0"/>
              <w:bottom w:val="single" w:color="auto" w:sz="4" w:space="0"/>
              <w:right w:val="single" w:color="auto" w:sz="4" w:space="0"/>
            </w:tcBorders>
            <w:shd w:val="clear" w:color="auto" w:fill="auto"/>
            <w:noWrap/>
            <w:vAlign w:val="center"/>
          </w:tcPr>
          <w:p w14:paraId="4505182C">
            <w:pPr>
              <w:widowControl/>
              <w:adjustRightInd/>
              <w:spacing w:line="240" w:lineRule="auto"/>
              <w:jc w:val="center"/>
              <w:rPr>
                <w:rFonts w:ascii="Times New Roman" w:hAnsi="Times New Roman" w:eastAsia="等线"/>
                <w:color w:val="000000"/>
                <w:kern w:val="0"/>
                <w:sz w:val="18"/>
                <w:szCs w:val="18"/>
              </w:rPr>
            </w:pPr>
          </w:p>
        </w:tc>
        <w:tc>
          <w:tcPr>
            <w:tcW w:w="1114" w:type="pct"/>
            <w:vMerge w:val="continue"/>
            <w:tcBorders>
              <w:left w:val="single" w:color="auto" w:sz="4" w:space="0"/>
              <w:bottom w:val="single" w:color="auto" w:sz="4" w:space="0"/>
              <w:right w:val="single" w:color="auto" w:sz="4" w:space="0"/>
            </w:tcBorders>
            <w:vAlign w:val="center"/>
          </w:tcPr>
          <w:p w14:paraId="321C877B">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bottom w:val="single" w:color="auto" w:sz="4" w:space="0"/>
              <w:right w:val="single" w:color="auto" w:sz="4" w:space="0"/>
            </w:tcBorders>
            <w:vAlign w:val="center"/>
          </w:tcPr>
          <w:p w14:paraId="2ED548F5">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145B66C6">
            <w:pPr>
              <w:spacing w:line="240" w:lineRule="auto"/>
              <w:jc w:val="center"/>
              <w:rPr>
                <w:rFonts w:ascii="宋体" w:hAnsi="宋体" w:cs="宋体"/>
                <w:color w:val="000000"/>
                <w:kern w:val="0"/>
                <w:sz w:val="18"/>
                <w:szCs w:val="18"/>
              </w:rPr>
            </w:pPr>
          </w:p>
        </w:tc>
        <w:tc>
          <w:tcPr>
            <w:tcW w:w="1024" w:type="pct"/>
            <w:tcBorders>
              <w:top w:val="single" w:color="auto" w:sz="4" w:space="0"/>
              <w:left w:val="nil"/>
              <w:bottom w:val="single" w:color="auto" w:sz="4" w:space="0"/>
              <w:right w:val="single" w:color="auto" w:sz="4" w:space="0"/>
            </w:tcBorders>
            <w:shd w:val="clear" w:color="000000" w:fill="FFFFFF"/>
            <w:vAlign w:val="center"/>
          </w:tcPr>
          <w:p w14:paraId="4680D4E0">
            <w:pPr>
              <w:spacing w:line="240" w:lineRule="auto"/>
              <w:jc w:val="center"/>
              <w:rPr>
                <w:rFonts w:ascii="Times New Roman" w:hAnsi="Times New Roman" w:eastAsia="等线"/>
                <w:color w:val="000000"/>
                <w:kern w:val="0"/>
                <w:sz w:val="18"/>
                <w:szCs w:val="18"/>
              </w:rPr>
            </w:pPr>
          </w:p>
        </w:tc>
      </w:tr>
    </w:tbl>
    <w:p w14:paraId="6901016F">
      <w:pPr>
        <w:widowControl/>
        <w:numPr>
          <w:ilvl w:val="1"/>
          <w:numId w:val="36"/>
        </w:numPr>
        <w:snapToGrid w:val="0"/>
        <w:spacing w:before="156" w:beforeLines="50" w:after="156" w:afterLines="50" w:line="278" w:lineRule="auto"/>
        <w:ind w:left="0"/>
        <w:jc w:val="center"/>
        <w:textAlignment w:val="baseline"/>
        <w:rPr>
          <w:rFonts w:ascii="黑体" w:hAnsi="Times New Roman" w:eastAsia="黑体"/>
          <w:kern w:val="21"/>
          <w:szCs w:val="20"/>
        </w:rPr>
      </w:pPr>
      <w:r>
        <w:rPr>
          <w:rFonts w:hint="eastAsia" w:ascii="黑体" w:hAnsi="Times New Roman" w:eastAsia="黑体"/>
          <w:kern w:val="21"/>
          <w:szCs w:val="20"/>
        </w:rPr>
        <w:t>水务对象分类编码表（续）</w:t>
      </w:r>
    </w:p>
    <w:tbl>
      <w:tblPr>
        <w:tblStyle w:val="29"/>
        <w:tblW w:w="5000" w:type="pct"/>
        <w:tblInd w:w="0" w:type="dxa"/>
        <w:tblLayout w:type="autofit"/>
        <w:tblCellMar>
          <w:top w:w="0" w:type="dxa"/>
          <w:left w:w="108" w:type="dxa"/>
          <w:bottom w:w="0" w:type="dxa"/>
          <w:right w:w="108" w:type="dxa"/>
        </w:tblCellMar>
      </w:tblPr>
      <w:tblGrid>
        <w:gridCol w:w="836"/>
        <w:gridCol w:w="2132"/>
        <w:gridCol w:w="1960"/>
        <w:gridCol w:w="2682"/>
        <w:gridCol w:w="1960"/>
      </w:tblGrid>
      <w:tr w14:paraId="0FDF5391">
        <w:tblPrEx>
          <w:tblCellMar>
            <w:top w:w="0" w:type="dxa"/>
            <w:left w:w="108" w:type="dxa"/>
            <w:bottom w:w="0" w:type="dxa"/>
            <w:right w:w="108" w:type="dxa"/>
          </w:tblCellMar>
        </w:tblPrEx>
        <w:trPr>
          <w:tblHeader/>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04CB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14" w:type="pct"/>
            <w:tcBorders>
              <w:top w:val="single" w:color="auto" w:sz="4" w:space="0"/>
              <w:left w:val="nil"/>
              <w:bottom w:val="single" w:color="auto" w:sz="4" w:space="0"/>
              <w:right w:val="single" w:color="auto" w:sz="4" w:space="0"/>
            </w:tcBorders>
            <w:shd w:val="clear" w:color="auto" w:fill="auto"/>
            <w:noWrap/>
            <w:vAlign w:val="center"/>
          </w:tcPr>
          <w:p w14:paraId="00B41F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6210FAF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基础大类代码</w:t>
            </w: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5D0C973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编码对象小类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3D26978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对象分类代码</w:t>
            </w:r>
          </w:p>
        </w:tc>
      </w:tr>
      <w:tr w14:paraId="4C10AB0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E636CB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w:t>
            </w:r>
          </w:p>
        </w:tc>
        <w:tc>
          <w:tcPr>
            <w:tcW w:w="1114" w:type="pct"/>
            <w:vMerge w:val="restart"/>
            <w:tcBorders>
              <w:left w:val="single" w:color="auto" w:sz="4" w:space="0"/>
              <w:right w:val="single" w:color="auto" w:sz="4" w:space="0"/>
            </w:tcBorders>
            <w:vAlign w:val="center"/>
          </w:tcPr>
          <w:p w14:paraId="32C3FC01">
            <w:pPr>
              <w:widowControl/>
              <w:adjustRightInd/>
              <w:spacing w:line="240" w:lineRule="auto"/>
              <w:jc w:val="left"/>
              <w:rPr>
                <w:rFonts w:ascii="宋体" w:hAnsi="宋体" w:cs="宋体"/>
                <w:color w:val="000000"/>
                <w:kern w:val="0"/>
                <w:sz w:val="18"/>
                <w:szCs w:val="18"/>
              </w:rPr>
            </w:pPr>
          </w:p>
        </w:tc>
        <w:tc>
          <w:tcPr>
            <w:tcW w:w="1024" w:type="pct"/>
            <w:vMerge w:val="restart"/>
            <w:tcBorders>
              <w:left w:val="single" w:color="auto" w:sz="4" w:space="0"/>
              <w:right w:val="single" w:color="auto" w:sz="4" w:space="0"/>
            </w:tcBorders>
            <w:vAlign w:val="center"/>
          </w:tcPr>
          <w:p w14:paraId="102336E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3C3CBA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城镇自建供水设施</w:t>
            </w:r>
          </w:p>
        </w:tc>
        <w:tc>
          <w:tcPr>
            <w:tcW w:w="1024" w:type="pct"/>
            <w:tcBorders>
              <w:top w:val="nil"/>
              <w:left w:val="nil"/>
              <w:bottom w:val="single" w:color="auto" w:sz="4" w:space="0"/>
              <w:right w:val="single" w:color="auto" w:sz="4" w:space="0"/>
            </w:tcBorders>
            <w:shd w:val="clear" w:color="000000" w:fill="FFFFFF"/>
            <w:vAlign w:val="center"/>
          </w:tcPr>
          <w:p w14:paraId="4409543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040003</w:t>
            </w:r>
          </w:p>
        </w:tc>
      </w:tr>
      <w:tr w14:paraId="4C8CB447">
        <w:tblPrEx>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F8D7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33</w:t>
            </w:r>
          </w:p>
        </w:tc>
        <w:tc>
          <w:tcPr>
            <w:tcW w:w="1114" w:type="pct"/>
            <w:vMerge w:val="continue"/>
            <w:tcBorders>
              <w:left w:val="single" w:color="auto" w:sz="4" w:space="0"/>
              <w:right w:val="single" w:color="auto" w:sz="4" w:space="0"/>
            </w:tcBorders>
            <w:vAlign w:val="center"/>
          </w:tcPr>
          <w:p w14:paraId="3FC0A3DC">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right w:val="single" w:color="auto" w:sz="4" w:space="0"/>
            </w:tcBorders>
            <w:vAlign w:val="center"/>
          </w:tcPr>
          <w:p w14:paraId="700013D3">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426886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村庄供水站</w:t>
            </w:r>
          </w:p>
        </w:tc>
        <w:tc>
          <w:tcPr>
            <w:tcW w:w="1024" w:type="pct"/>
            <w:tcBorders>
              <w:top w:val="single" w:color="auto" w:sz="4" w:space="0"/>
              <w:left w:val="nil"/>
              <w:bottom w:val="single" w:color="auto" w:sz="4" w:space="0"/>
              <w:right w:val="single" w:color="auto" w:sz="4" w:space="0"/>
            </w:tcBorders>
            <w:shd w:val="clear" w:color="000000" w:fill="FFFFFF"/>
            <w:vAlign w:val="center"/>
          </w:tcPr>
          <w:p w14:paraId="1750C81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040004</w:t>
            </w:r>
          </w:p>
        </w:tc>
      </w:tr>
      <w:tr w14:paraId="4F433725">
        <w:tblPrEx>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D6518">
            <w:pPr>
              <w:widowControl/>
              <w:adjustRightInd/>
              <w:spacing w:line="240"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34</w:t>
            </w:r>
          </w:p>
        </w:tc>
        <w:tc>
          <w:tcPr>
            <w:tcW w:w="1114" w:type="pct"/>
            <w:vMerge w:val="continue"/>
            <w:tcBorders>
              <w:left w:val="single" w:color="auto" w:sz="4" w:space="0"/>
              <w:bottom w:val="single" w:color="auto" w:sz="4" w:space="0"/>
              <w:right w:val="single" w:color="auto" w:sz="4" w:space="0"/>
            </w:tcBorders>
            <w:vAlign w:val="center"/>
          </w:tcPr>
          <w:p w14:paraId="3E801F29">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bottom w:val="single" w:color="auto" w:sz="4" w:space="0"/>
              <w:right w:val="single" w:color="auto" w:sz="4" w:space="0"/>
            </w:tcBorders>
            <w:vAlign w:val="center"/>
          </w:tcPr>
          <w:p w14:paraId="6FD1B982">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55BC8AC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加压泵站</w:t>
            </w:r>
          </w:p>
        </w:tc>
        <w:tc>
          <w:tcPr>
            <w:tcW w:w="1024" w:type="pct"/>
            <w:tcBorders>
              <w:top w:val="single" w:color="auto" w:sz="4" w:space="0"/>
              <w:left w:val="nil"/>
              <w:bottom w:val="single" w:color="auto" w:sz="4" w:space="0"/>
              <w:right w:val="single" w:color="auto" w:sz="4" w:space="0"/>
            </w:tcBorders>
            <w:shd w:val="clear" w:color="000000" w:fill="FFFFFF"/>
            <w:vAlign w:val="center"/>
          </w:tcPr>
          <w:p w14:paraId="57BB68B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040005</w:t>
            </w:r>
          </w:p>
        </w:tc>
      </w:tr>
      <w:tr w14:paraId="7D4298A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C9D40C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35</w:t>
            </w:r>
          </w:p>
        </w:tc>
        <w:tc>
          <w:tcPr>
            <w:tcW w:w="1114" w:type="pct"/>
            <w:vMerge w:val="restart"/>
            <w:tcBorders>
              <w:top w:val="nil"/>
              <w:left w:val="single" w:color="auto" w:sz="4" w:space="0"/>
              <w:bottom w:val="single" w:color="auto" w:sz="4" w:space="0"/>
              <w:right w:val="single" w:color="auto" w:sz="4" w:space="0"/>
            </w:tcBorders>
            <w:shd w:val="clear" w:color="auto" w:fill="auto"/>
            <w:vAlign w:val="center"/>
          </w:tcPr>
          <w:p w14:paraId="6C7C0BF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w:t>
            </w:r>
          </w:p>
        </w:tc>
        <w:tc>
          <w:tcPr>
            <w:tcW w:w="1024" w:type="pct"/>
            <w:vMerge w:val="restart"/>
            <w:tcBorders>
              <w:top w:val="nil"/>
              <w:left w:val="single" w:color="auto" w:sz="4" w:space="0"/>
              <w:bottom w:val="single" w:color="auto" w:sz="4" w:space="0"/>
              <w:right w:val="single" w:color="auto" w:sz="4" w:space="0"/>
            </w:tcBorders>
            <w:shd w:val="clear" w:color="auto" w:fill="auto"/>
            <w:vAlign w:val="center"/>
          </w:tcPr>
          <w:p w14:paraId="3469B11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w:t>
            </w:r>
          </w:p>
        </w:tc>
        <w:tc>
          <w:tcPr>
            <w:tcW w:w="1401" w:type="pct"/>
            <w:tcBorders>
              <w:top w:val="nil"/>
              <w:left w:val="nil"/>
              <w:bottom w:val="single" w:color="auto" w:sz="4" w:space="0"/>
              <w:right w:val="single" w:color="auto" w:sz="4" w:space="0"/>
            </w:tcBorders>
            <w:shd w:val="clear" w:color="auto" w:fill="auto"/>
            <w:noWrap/>
            <w:vAlign w:val="center"/>
          </w:tcPr>
          <w:p w14:paraId="18477B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城镇污水处理设施</w:t>
            </w:r>
          </w:p>
        </w:tc>
        <w:tc>
          <w:tcPr>
            <w:tcW w:w="1024" w:type="pct"/>
            <w:tcBorders>
              <w:top w:val="nil"/>
              <w:left w:val="nil"/>
              <w:bottom w:val="single" w:color="auto" w:sz="4" w:space="0"/>
              <w:right w:val="single" w:color="auto" w:sz="4" w:space="0"/>
            </w:tcBorders>
            <w:shd w:val="clear" w:color="000000" w:fill="FFFFFF"/>
            <w:vAlign w:val="center"/>
          </w:tcPr>
          <w:p w14:paraId="5126FEF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050001</w:t>
            </w:r>
          </w:p>
        </w:tc>
      </w:tr>
      <w:tr w14:paraId="705F61A0">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128852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36</w:t>
            </w:r>
          </w:p>
        </w:tc>
        <w:tc>
          <w:tcPr>
            <w:tcW w:w="1114" w:type="pct"/>
            <w:vMerge w:val="continue"/>
            <w:tcBorders>
              <w:top w:val="nil"/>
              <w:left w:val="single" w:color="auto" w:sz="4" w:space="0"/>
              <w:bottom w:val="single" w:color="auto" w:sz="4" w:space="0"/>
              <w:right w:val="single" w:color="auto" w:sz="4" w:space="0"/>
            </w:tcBorders>
            <w:vAlign w:val="center"/>
          </w:tcPr>
          <w:p w14:paraId="21037FF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8A849B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8CA1F5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农村污水处理设施</w:t>
            </w:r>
          </w:p>
        </w:tc>
        <w:tc>
          <w:tcPr>
            <w:tcW w:w="1024" w:type="pct"/>
            <w:tcBorders>
              <w:top w:val="nil"/>
              <w:left w:val="nil"/>
              <w:bottom w:val="single" w:color="auto" w:sz="4" w:space="0"/>
              <w:right w:val="single" w:color="auto" w:sz="4" w:space="0"/>
            </w:tcBorders>
            <w:shd w:val="clear" w:color="000000" w:fill="FFFFFF"/>
            <w:vAlign w:val="center"/>
          </w:tcPr>
          <w:p w14:paraId="1FC0EF3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050002</w:t>
            </w:r>
          </w:p>
        </w:tc>
      </w:tr>
      <w:tr w14:paraId="7058BD2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9E937F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37</w:t>
            </w:r>
          </w:p>
        </w:tc>
        <w:tc>
          <w:tcPr>
            <w:tcW w:w="1114" w:type="pct"/>
            <w:vMerge w:val="continue"/>
            <w:tcBorders>
              <w:top w:val="nil"/>
              <w:left w:val="single" w:color="auto" w:sz="4" w:space="0"/>
              <w:bottom w:val="single" w:color="auto" w:sz="4" w:space="0"/>
              <w:right w:val="single" w:color="auto" w:sz="4" w:space="0"/>
            </w:tcBorders>
            <w:vAlign w:val="center"/>
          </w:tcPr>
          <w:p w14:paraId="337FDE9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A39099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8A1DDD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污泥处理处置设施</w:t>
            </w:r>
          </w:p>
        </w:tc>
        <w:tc>
          <w:tcPr>
            <w:tcW w:w="1024" w:type="pct"/>
            <w:tcBorders>
              <w:top w:val="nil"/>
              <w:left w:val="nil"/>
              <w:bottom w:val="single" w:color="auto" w:sz="4" w:space="0"/>
              <w:right w:val="single" w:color="auto" w:sz="4" w:space="0"/>
            </w:tcBorders>
            <w:shd w:val="clear" w:color="000000" w:fill="FFFFFF"/>
            <w:vAlign w:val="center"/>
          </w:tcPr>
          <w:p w14:paraId="2E984BB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050003</w:t>
            </w:r>
          </w:p>
        </w:tc>
      </w:tr>
      <w:tr w14:paraId="41ADC854">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7C0F0C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38</w:t>
            </w:r>
          </w:p>
        </w:tc>
        <w:tc>
          <w:tcPr>
            <w:tcW w:w="1114" w:type="pct"/>
            <w:vMerge w:val="continue"/>
            <w:tcBorders>
              <w:top w:val="nil"/>
              <w:left w:val="single" w:color="auto" w:sz="4" w:space="0"/>
              <w:bottom w:val="single" w:color="auto" w:sz="4" w:space="0"/>
              <w:right w:val="single" w:color="auto" w:sz="4" w:space="0"/>
            </w:tcBorders>
            <w:vAlign w:val="center"/>
          </w:tcPr>
          <w:p w14:paraId="71AC206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C63B15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F5ADD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排水管线</w:t>
            </w:r>
          </w:p>
        </w:tc>
        <w:tc>
          <w:tcPr>
            <w:tcW w:w="1024" w:type="pct"/>
            <w:tcBorders>
              <w:top w:val="nil"/>
              <w:left w:val="nil"/>
              <w:bottom w:val="single" w:color="auto" w:sz="4" w:space="0"/>
              <w:right w:val="single" w:color="auto" w:sz="4" w:space="0"/>
            </w:tcBorders>
            <w:shd w:val="clear" w:color="000000" w:fill="FFFFFF"/>
            <w:vAlign w:val="center"/>
          </w:tcPr>
          <w:p w14:paraId="6B70AF2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050004</w:t>
            </w:r>
          </w:p>
        </w:tc>
      </w:tr>
      <w:tr w14:paraId="60FB47C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61F7CD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39</w:t>
            </w:r>
          </w:p>
        </w:tc>
        <w:tc>
          <w:tcPr>
            <w:tcW w:w="1114" w:type="pct"/>
            <w:vMerge w:val="continue"/>
            <w:tcBorders>
              <w:top w:val="nil"/>
              <w:left w:val="single" w:color="auto" w:sz="4" w:space="0"/>
              <w:bottom w:val="single" w:color="auto" w:sz="4" w:space="0"/>
              <w:right w:val="single" w:color="auto" w:sz="4" w:space="0"/>
            </w:tcBorders>
            <w:vAlign w:val="center"/>
          </w:tcPr>
          <w:p w14:paraId="6153F5B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009286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13E50C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排水泵站</w:t>
            </w:r>
          </w:p>
        </w:tc>
        <w:tc>
          <w:tcPr>
            <w:tcW w:w="1024" w:type="pct"/>
            <w:tcBorders>
              <w:top w:val="nil"/>
              <w:left w:val="nil"/>
              <w:bottom w:val="single" w:color="auto" w:sz="4" w:space="0"/>
              <w:right w:val="single" w:color="auto" w:sz="4" w:space="0"/>
            </w:tcBorders>
            <w:shd w:val="clear" w:color="000000" w:fill="FFFFFF"/>
            <w:vAlign w:val="center"/>
          </w:tcPr>
          <w:p w14:paraId="6501680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050005</w:t>
            </w:r>
          </w:p>
        </w:tc>
      </w:tr>
      <w:tr w14:paraId="0ADF9AB2">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A3CD77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40</w:t>
            </w:r>
          </w:p>
        </w:tc>
        <w:tc>
          <w:tcPr>
            <w:tcW w:w="1114" w:type="pct"/>
            <w:vMerge w:val="continue"/>
            <w:tcBorders>
              <w:top w:val="nil"/>
              <w:left w:val="single" w:color="auto" w:sz="4" w:space="0"/>
              <w:bottom w:val="single" w:color="auto" w:sz="4" w:space="0"/>
              <w:right w:val="single" w:color="auto" w:sz="4" w:space="0"/>
            </w:tcBorders>
            <w:vAlign w:val="center"/>
          </w:tcPr>
          <w:p w14:paraId="549268C2">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D4186B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4765A5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调蓄工程</w:t>
            </w:r>
          </w:p>
        </w:tc>
        <w:tc>
          <w:tcPr>
            <w:tcW w:w="1024" w:type="pct"/>
            <w:tcBorders>
              <w:top w:val="nil"/>
              <w:left w:val="nil"/>
              <w:bottom w:val="single" w:color="auto" w:sz="4" w:space="0"/>
              <w:right w:val="single" w:color="auto" w:sz="4" w:space="0"/>
            </w:tcBorders>
            <w:shd w:val="clear" w:color="000000" w:fill="FFFFFF"/>
            <w:vAlign w:val="center"/>
          </w:tcPr>
          <w:p w14:paraId="7766670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050006</w:t>
            </w:r>
          </w:p>
        </w:tc>
      </w:tr>
      <w:tr w14:paraId="502BDCA4">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572C37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41</w:t>
            </w:r>
          </w:p>
        </w:tc>
        <w:tc>
          <w:tcPr>
            <w:tcW w:w="1114" w:type="pct"/>
            <w:vMerge w:val="continue"/>
            <w:tcBorders>
              <w:top w:val="nil"/>
              <w:left w:val="single" w:color="auto" w:sz="4" w:space="0"/>
              <w:bottom w:val="single" w:color="auto" w:sz="4" w:space="0"/>
              <w:right w:val="single" w:color="auto" w:sz="4" w:space="0"/>
            </w:tcBorders>
            <w:vAlign w:val="center"/>
          </w:tcPr>
          <w:p w14:paraId="04360759">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7AB9EB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3BC706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再生水泵房泵站</w:t>
            </w:r>
          </w:p>
        </w:tc>
        <w:tc>
          <w:tcPr>
            <w:tcW w:w="1024" w:type="pct"/>
            <w:tcBorders>
              <w:top w:val="nil"/>
              <w:left w:val="nil"/>
              <w:bottom w:val="single" w:color="auto" w:sz="4" w:space="0"/>
              <w:right w:val="single" w:color="auto" w:sz="4" w:space="0"/>
            </w:tcBorders>
            <w:shd w:val="clear" w:color="000000" w:fill="FFFFFF"/>
            <w:vAlign w:val="center"/>
          </w:tcPr>
          <w:p w14:paraId="56D1ACE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050007</w:t>
            </w:r>
          </w:p>
        </w:tc>
      </w:tr>
      <w:tr w14:paraId="6C3067D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F0E86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42</w:t>
            </w:r>
          </w:p>
        </w:tc>
        <w:tc>
          <w:tcPr>
            <w:tcW w:w="1114" w:type="pct"/>
            <w:vMerge w:val="continue"/>
            <w:tcBorders>
              <w:top w:val="nil"/>
              <w:left w:val="single" w:color="auto" w:sz="4" w:space="0"/>
              <w:bottom w:val="single" w:color="auto" w:sz="4" w:space="0"/>
              <w:right w:val="single" w:color="auto" w:sz="4" w:space="0"/>
            </w:tcBorders>
            <w:vAlign w:val="center"/>
          </w:tcPr>
          <w:p w14:paraId="0478E53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EAE036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6F538A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再生水加水设施</w:t>
            </w:r>
          </w:p>
        </w:tc>
        <w:tc>
          <w:tcPr>
            <w:tcW w:w="1024" w:type="pct"/>
            <w:tcBorders>
              <w:top w:val="nil"/>
              <w:left w:val="nil"/>
              <w:bottom w:val="single" w:color="auto" w:sz="4" w:space="0"/>
              <w:right w:val="single" w:color="auto" w:sz="4" w:space="0"/>
            </w:tcBorders>
            <w:shd w:val="clear" w:color="000000" w:fill="FFFFFF"/>
            <w:vAlign w:val="center"/>
          </w:tcPr>
          <w:p w14:paraId="4C0BDE3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050008</w:t>
            </w:r>
          </w:p>
        </w:tc>
      </w:tr>
      <w:tr w14:paraId="092AB32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F0AAE9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43</w:t>
            </w:r>
          </w:p>
        </w:tc>
        <w:tc>
          <w:tcPr>
            <w:tcW w:w="1114" w:type="pct"/>
            <w:tcBorders>
              <w:top w:val="nil"/>
              <w:left w:val="nil"/>
              <w:bottom w:val="single" w:color="auto" w:sz="4" w:space="0"/>
              <w:right w:val="single" w:color="auto" w:sz="4" w:space="0"/>
            </w:tcBorders>
            <w:shd w:val="clear" w:color="000000" w:fill="FFFFFF"/>
            <w:vAlign w:val="center"/>
          </w:tcPr>
          <w:p w14:paraId="7DCB4EE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水土保持</w:t>
            </w:r>
          </w:p>
        </w:tc>
        <w:tc>
          <w:tcPr>
            <w:tcW w:w="1024" w:type="pct"/>
            <w:tcBorders>
              <w:top w:val="nil"/>
              <w:left w:val="nil"/>
              <w:bottom w:val="single" w:color="auto" w:sz="4" w:space="0"/>
              <w:right w:val="single" w:color="auto" w:sz="4" w:space="0"/>
            </w:tcBorders>
            <w:shd w:val="clear" w:color="000000" w:fill="FFFFFF"/>
            <w:vAlign w:val="center"/>
          </w:tcPr>
          <w:p w14:paraId="1BC8E45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06</w:t>
            </w:r>
          </w:p>
        </w:tc>
        <w:tc>
          <w:tcPr>
            <w:tcW w:w="1401" w:type="pct"/>
            <w:tcBorders>
              <w:top w:val="nil"/>
              <w:left w:val="nil"/>
              <w:bottom w:val="single" w:color="auto" w:sz="4" w:space="0"/>
              <w:right w:val="single" w:color="auto" w:sz="4" w:space="0"/>
            </w:tcBorders>
            <w:shd w:val="clear" w:color="000000" w:fill="FFFFFF"/>
            <w:vAlign w:val="center"/>
          </w:tcPr>
          <w:p w14:paraId="61DF2F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小流域</w:t>
            </w:r>
          </w:p>
        </w:tc>
        <w:tc>
          <w:tcPr>
            <w:tcW w:w="1024" w:type="pct"/>
            <w:tcBorders>
              <w:top w:val="nil"/>
              <w:left w:val="nil"/>
              <w:bottom w:val="single" w:color="auto" w:sz="4" w:space="0"/>
              <w:right w:val="single" w:color="auto" w:sz="4" w:space="0"/>
            </w:tcBorders>
            <w:shd w:val="clear" w:color="000000" w:fill="FFFFFF"/>
            <w:vAlign w:val="center"/>
          </w:tcPr>
          <w:p w14:paraId="602F56A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060001</w:t>
            </w:r>
          </w:p>
        </w:tc>
      </w:tr>
      <w:tr w14:paraId="4858BF8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56218C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44</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29DAB0F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水务物联感知</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4D64112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w:t>
            </w:r>
          </w:p>
        </w:tc>
        <w:tc>
          <w:tcPr>
            <w:tcW w:w="1401" w:type="pct"/>
            <w:tcBorders>
              <w:top w:val="nil"/>
              <w:left w:val="nil"/>
              <w:bottom w:val="single" w:color="auto" w:sz="4" w:space="0"/>
              <w:right w:val="single" w:color="auto" w:sz="4" w:space="0"/>
            </w:tcBorders>
            <w:shd w:val="clear" w:color="auto" w:fill="auto"/>
            <w:noWrap/>
            <w:vAlign w:val="center"/>
          </w:tcPr>
          <w:p w14:paraId="6577172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水表</w:t>
            </w:r>
          </w:p>
        </w:tc>
        <w:tc>
          <w:tcPr>
            <w:tcW w:w="1024" w:type="pct"/>
            <w:tcBorders>
              <w:top w:val="nil"/>
              <w:left w:val="nil"/>
              <w:bottom w:val="single" w:color="auto" w:sz="4" w:space="0"/>
              <w:right w:val="single" w:color="auto" w:sz="4" w:space="0"/>
            </w:tcBorders>
            <w:shd w:val="clear" w:color="000000" w:fill="FFFFFF"/>
            <w:vAlign w:val="center"/>
          </w:tcPr>
          <w:p w14:paraId="1AF0A76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070001</w:t>
            </w:r>
          </w:p>
        </w:tc>
      </w:tr>
      <w:tr w14:paraId="743A93A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5AC4CB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45</w:t>
            </w:r>
          </w:p>
        </w:tc>
        <w:tc>
          <w:tcPr>
            <w:tcW w:w="1114" w:type="pct"/>
            <w:vMerge w:val="continue"/>
            <w:tcBorders>
              <w:top w:val="nil"/>
              <w:left w:val="single" w:color="auto" w:sz="4" w:space="0"/>
              <w:bottom w:val="single" w:color="auto" w:sz="4" w:space="0"/>
              <w:right w:val="single" w:color="auto" w:sz="4" w:space="0"/>
            </w:tcBorders>
            <w:vAlign w:val="center"/>
          </w:tcPr>
          <w:p w14:paraId="5990565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6597A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EBDC8B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雨量计</w:t>
            </w:r>
          </w:p>
        </w:tc>
        <w:tc>
          <w:tcPr>
            <w:tcW w:w="1024" w:type="pct"/>
            <w:tcBorders>
              <w:top w:val="nil"/>
              <w:left w:val="nil"/>
              <w:bottom w:val="single" w:color="auto" w:sz="4" w:space="0"/>
              <w:right w:val="single" w:color="auto" w:sz="4" w:space="0"/>
            </w:tcBorders>
            <w:shd w:val="clear" w:color="000000" w:fill="FFFFFF"/>
            <w:vAlign w:val="center"/>
          </w:tcPr>
          <w:p w14:paraId="68BD62D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070002</w:t>
            </w:r>
          </w:p>
        </w:tc>
      </w:tr>
      <w:tr w14:paraId="08C41AA2">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A861F4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46</w:t>
            </w:r>
          </w:p>
        </w:tc>
        <w:tc>
          <w:tcPr>
            <w:tcW w:w="1114" w:type="pct"/>
            <w:vMerge w:val="continue"/>
            <w:tcBorders>
              <w:top w:val="nil"/>
              <w:left w:val="single" w:color="auto" w:sz="4" w:space="0"/>
              <w:bottom w:val="single" w:color="auto" w:sz="4" w:space="0"/>
              <w:right w:val="single" w:color="auto" w:sz="4" w:space="0"/>
            </w:tcBorders>
            <w:vAlign w:val="center"/>
          </w:tcPr>
          <w:p w14:paraId="30F266D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2CAE82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BFE13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水位计</w:t>
            </w:r>
          </w:p>
        </w:tc>
        <w:tc>
          <w:tcPr>
            <w:tcW w:w="1024" w:type="pct"/>
            <w:tcBorders>
              <w:top w:val="nil"/>
              <w:left w:val="nil"/>
              <w:bottom w:val="single" w:color="auto" w:sz="4" w:space="0"/>
              <w:right w:val="single" w:color="auto" w:sz="4" w:space="0"/>
            </w:tcBorders>
            <w:shd w:val="clear" w:color="000000" w:fill="FFFFFF"/>
            <w:vAlign w:val="center"/>
          </w:tcPr>
          <w:p w14:paraId="055699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070003</w:t>
            </w:r>
          </w:p>
        </w:tc>
      </w:tr>
      <w:tr w14:paraId="4BFA29A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FFDCA0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47</w:t>
            </w:r>
          </w:p>
        </w:tc>
        <w:tc>
          <w:tcPr>
            <w:tcW w:w="1114" w:type="pct"/>
            <w:vMerge w:val="continue"/>
            <w:tcBorders>
              <w:top w:val="nil"/>
              <w:left w:val="single" w:color="auto" w:sz="4" w:space="0"/>
              <w:bottom w:val="single" w:color="auto" w:sz="4" w:space="0"/>
              <w:right w:val="single" w:color="auto" w:sz="4" w:space="0"/>
            </w:tcBorders>
            <w:vAlign w:val="center"/>
          </w:tcPr>
          <w:p w14:paraId="72355FB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8FCD9E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F7C4A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流量计</w:t>
            </w:r>
          </w:p>
        </w:tc>
        <w:tc>
          <w:tcPr>
            <w:tcW w:w="1024" w:type="pct"/>
            <w:tcBorders>
              <w:top w:val="nil"/>
              <w:left w:val="nil"/>
              <w:bottom w:val="single" w:color="auto" w:sz="4" w:space="0"/>
              <w:right w:val="single" w:color="auto" w:sz="4" w:space="0"/>
            </w:tcBorders>
            <w:shd w:val="clear" w:color="000000" w:fill="FFFFFF"/>
            <w:vAlign w:val="center"/>
          </w:tcPr>
          <w:p w14:paraId="13EDF39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070004</w:t>
            </w:r>
          </w:p>
        </w:tc>
      </w:tr>
      <w:tr w14:paraId="047DECF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CF2572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48</w:t>
            </w:r>
          </w:p>
        </w:tc>
        <w:tc>
          <w:tcPr>
            <w:tcW w:w="1114" w:type="pct"/>
            <w:vMerge w:val="continue"/>
            <w:tcBorders>
              <w:top w:val="nil"/>
              <w:left w:val="single" w:color="auto" w:sz="4" w:space="0"/>
              <w:bottom w:val="single" w:color="auto" w:sz="4" w:space="0"/>
              <w:right w:val="single" w:color="auto" w:sz="4" w:space="0"/>
            </w:tcBorders>
            <w:vAlign w:val="center"/>
          </w:tcPr>
          <w:p w14:paraId="59316A2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72F97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DB4963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地下水埋深感知终端</w:t>
            </w:r>
          </w:p>
        </w:tc>
        <w:tc>
          <w:tcPr>
            <w:tcW w:w="1024" w:type="pct"/>
            <w:tcBorders>
              <w:top w:val="nil"/>
              <w:left w:val="nil"/>
              <w:bottom w:val="single" w:color="auto" w:sz="4" w:space="0"/>
              <w:right w:val="single" w:color="auto" w:sz="4" w:space="0"/>
            </w:tcBorders>
            <w:shd w:val="clear" w:color="000000" w:fill="FFFFFF"/>
            <w:vAlign w:val="center"/>
          </w:tcPr>
          <w:p w14:paraId="035E6BE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070005</w:t>
            </w:r>
          </w:p>
        </w:tc>
      </w:tr>
      <w:tr w14:paraId="14EAEAB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677DE9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49</w:t>
            </w:r>
          </w:p>
        </w:tc>
        <w:tc>
          <w:tcPr>
            <w:tcW w:w="1114" w:type="pct"/>
            <w:vMerge w:val="continue"/>
            <w:tcBorders>
              <w:top w:val="nil"/>
              <w:left w:val="single" w:color="auto" w:sz="4" w:space="0"/>
              <w:bottom w:val="single" w:color="auto" w:sz="4" w:space="0"/>
              <w:right w:val="single" w:color="auto" w:sz="4" w:space="0"/>
            </w:tcBorders>
            <w:vAlign w:val="center"/>
          </w:tcPr>
          <w:p w14:paraId="3E664BA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59CE5A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E40076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积水感知终端</w:t>
            </w:r>
          </w:p>
        </w:tc>
        <w:tc>
          <w:tcPr>
            <w:tcW w:w="1024" w:type="pct"/>
            <w:tcBorders>
              <w:top w:val="nil"/>
              <w:left w:val="nil"/>
              <w:bottom w:val="single" w:color="auto" w:sz="4" w:space="0"/>
              <w:right w:val="single" w:color="auto" w:sz="4" w:space="0"/>
            </w:tcBorders>
            <w:shd w:val="clear" w:color="000000" w:fill="FFFFFF"/>
            <w:vAlign w:val="center"/>
          </w:tcPr>
          <w:p w14:paraId="55A2A99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070006</w:t>
            </w:r>
          </w:p>
        </w:tc>
      </w:tr>
      <w:tr w14:paraId="0A2F2CF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4A2175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50</w:t>
            </w:r>
          </w:p>
        </w:tc>
        <w:tc>
          <w:tcPr>
            <w:tcW w:w="1114" w:type="pct"/>
            <w:vMerge w:val="continue"/>
            <w:tcBorders>
              <w:top w:val="nil"/>
              <w:left w:val="single" w:color="auto" w:sz="4" w:space="0"/>
              <w:bottom w:val="single" w:color="auto" w:sz="4" w:space="0"/>
              <w:right w:val="single" w:color="auto" w:sz="4" w:space="0"/>
            </w:tcBorders>
            <w:vAlign w:val="center"/>
          </w:tcPr>
          <w:p w14:paraId="76538EC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8C725C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20EAA0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土壤水分计</w:t>
            </w:r>
          </w:p>
        </w:tc>
        <w:tc>
          <w:tcPr>
            <w:tcW w:w="1024" w:type="pct"/>
            <w:tcBorders>
              <w:top w:val="nil"/>
              <w:left w:val="nil"/>
              <w:bottom w:val="single" w:color="auto" w:sz="4" w:space="0"/>
              <w:right w:val="single" w:color="auto" w:sz="4" w:space="0"/>
            </w:tcBorders>
            <w:shd w:val="clear" w:color="000000" w:fill="FFFFFF"/>
            <w:vAlign w:val="center"/>
          </w:tcPr>
          <w:p w14:paraId="68723A9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070007</w:t>
            </w:r>
          </w:p>
        </w:tc>
      </w:tr>
      <w:tr w14:paraId="7847983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8CA049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51</w:t>
            </w:r>
          </w:p>
        </w:tc>
        <w:tc>
          <w:tcPr>
            <w:tcW w:w="1114" w:type="pct"/>
            <w:vMerge w:val="continue"/>
            <w:tcBorders>
              <w:top w:val="nil"/>
              <w:left w:val="single" w:color="auto" w:sz="4" w:space="0"/>
              <w:bottom w:val="single" w:color="auto" w:sz="4" w:space="0"/>
              <w:right w:val="single" w:color="auto" w:sz="4" w:space="0"/>
            </w:tcBorders>
            <w:vAlign w:val="center"/>
          </w:tcPr>
          <w:p w14:paraId="33B1763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B7D3F2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5B489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水质感知终端</w:t>
            </w:r>
          </w:p>
        </w:tc>
        <w:tc>
          <w:tcPr>
            <w:tcW w:w="1024" w:type="pct"/>
            <w:tcBorders>
              <w:top w:val="nil"/>
              <w:left w:val="nil"/>
              <w:bottom w:val="single" w:color="auto" w:sz="4" w:space="0"/>
              <w:right w:val="single" w:color="auto" w:sz="4" w:space="0"/>
            </w:tcBorders>
            <w:shd w:val="clear" w:color="000000" w:fill="FFFFFF"/>
            <w:vAlign w:val="center"/>
          </w:tcPr>
          <w:p w14:paraId="405DF1F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070008</w:t>
            </w:r>
          </w:p>
        </w:tc>
      </w:tr>
      <w:tr w14:paraId="56E8991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D2E2B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52</w:t>
            </w:r>
          </w:p>
        </w:tc>
        <w:tc>
          <w:tcPr>
            <w:tcW w:w="1114" w:type="pct"/>
            <w:vMerge w:val="continue"/>
            <w:tcBorders>
              <w:top w:val="nil"/>
              <w:left w:val="single" w:color="auto" w:sz="4" w:space="0"/>
              <w:bottom w:val="single" w:color="auto" w:sz="4" w:space="0"/>
              <w:right w:val="single" w:color="auto" w:sz="4" w:space="0"/>
            </w:tcBorders>
            <w:vAlign w:val="center"/>
          </w:tcPr>
          <w:p w14:paraId="68083302">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4B975C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313D0B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视频图像感知终端</w:t>
            </w:r>
          </w:p>
        </w:tc>
        <w:tc>
          <w:tcPr>
            <w:tcW w:w="1024" w:type="pct"/>
            <w:tcBorders>
              <w:top w:val="nil"/>
              <w:left w:val="nil"/>
              <w:bottom w:val="single" w:color="auto" w:sz="4" w:space="0"/>
              <w:right w:val="single" w:color="auto" w:sz="4" w:space="0"/>
            </w:tcBorders>
            <w:shd w:val="clear" w:color="000000" w:fill="FFFFFF"/>
            <w:vAlign w:val="center"/>
          </w:tcPr>
          <w:p w14:paraId="53AA3EB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070009</w:t>
            </w:r>
          </w:p>
        </w:tc>
      </w:tr>
      <w:tr w14:paraId="34B70A5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8502F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53</w:t>
            </w:r>
          </w:p>
        </w:tc>
        <w:tc>
          <w:tcPr>
            <w:tcW w:w="1114" w:type="pct"/>
            <w:vMerge w:val="continue"/>
            <w:tcBorders>
              <w:top w:val="nil"/>
              <w:left w:val="single" w:color="auto" w:sz="4" w:space="0"/>
              <w:bottom w:val="single" w:color="auto" w:sz="4" w:space="0"/>
              <w:right w:val="single" w:color="auto" w:sz="4" w:space="0"/>
            </w:tcBorders>
            <w:vAlign w:val="center"/>
          </w:tcPr>
          <w:p w14:paraId="64752E5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429122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56E72AE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闸位计</w:t>
            </w:r>
          </w:p>
        </w:tc>
        <w:tc>
          <w:tcPr>
            <w:tcW w:w="1024" w:type="pct"/>
            <w:tcBorders>
              <w:top w:val="nil"/>
              <w:left w:val="nil"/>
              <w:bottom w:val="single" w:color="auto" w:sz="4" w:space="0"/>
              <w:right w:val="single" w:color="auto" w:sz="4" w:space="0"/>
            </w:tcBorders>
            <w:shd w:val="clear" w:color="000000" w:fill="FFFFFF"/>
            <w:vAlign w:val="center"/>
          </w:tcPr>
          <w:p w14:paraId="463920F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070010</w:t>
            </w:r>
          </w:p>
        </w:tc>
      </w:tr>
      <w:tr w14:paraId="6D08C85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4311F6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54</w:t>
            </w:r>
          </w:p>
        </w:tc>
        <w:tc>
          <w:tcPr>
            <w:tcW w:w="1114" w:type="pct"/>
            <w:vMerge w:val="continue"/>
            <w:tcBorders>
              <w:top w:val="nil"/>
              <w:left w:val="single" w:color="auto" w:sz="4" w:space="0"/>
              <w:bottom w:val="single" w:color="auto" w:sz="4" w:space="0"/>
              <w:right w:val="single" w:color="auto" w:sz="4" w:space="0"/>
            </w:tcBorders>
            <w:vAlign w:val="center"/>
          </w:tcPr>
          <w:p w14:paraId="602289F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B691FF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40D9C7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压力计</w:t>
            </w:r>
          </w:p>
        </w:tc>
        <w:tc>
          <w:tcPr>
            <w:tcW w:w="1024" w:type="pct"/>
            <w:tcBorders>
              <w:top w:val="nil"/>
              <w:left w:val="nil"/>
              <w:bottom w:val="single" w:color="auto" w:sz="4" w:space="0"/>
              <w:right w:val="single" w:color="auto" w:sz="4" w:space="0"/>
            </w:tcBorders>
            <w:shd w:val="clear" w:color="000000" w:fill="FFFFFF"/>
            <w:vAlign w:val="center"/>
          </w:tcPr>
          <w:p w14:paraId="13528B7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070011</w:t>
            </w:r>
          </w:p>
        </w:tc>
      </w:tr>
      <w:tr w14:paraId="64D2FDB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815DE4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55</w:t>
            </w:r>
          </w:p>
        </w:tc>
        <w:tc>
          <w:tcPr>
            <w:tcW w:w="1114" w:type="pct"/>
            <w:vMerge w:val="continue"/>
            <w:tcBorders>
              <w:top w:val="nil"/>
              <w:left w:val="single" w:color="auto" w:sz="4" w:space="0"/>
              <w:bottom w:val="single" w:color="auto" w:sz="4" w:space="0"/>
              <w:right w:val="single" w:color="auto" w:sz="4" w:space="0"/>
            </w:tcBorders>
            <w:vAlign w:val="center"/>
          </w:tcPr>
          <w:p w14:paraId="0EE9316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EB73301">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5D721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应力应变计</w:t>
            </w:r>
          </w:p>
        </w:tc>
        <w:tc>
          <w:tcPr>
            <w:tcW w:w="1024" w:type="pct"/>
            <w:tcBorders>
              <w:top w:val="nil"/>
              <w:left w:val="nil"/>
              <w:bottom w:val="single" w:color="auto" w:sz="4" w:space="0"/>
              <w:right w:val="single" w:color="auto" w:sz="4" w:space="0"/>
            </w:tcBorders>
            <w:shd w:val="clear" w:color="000000" w:fill="FFFFFF"/>
            <w:vAlign w:val="center"/>
          </w:tcPr>
          <w:p w14:paraId="75814B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070012</w:t>
            </w:r>
          </w:p>
        </w:tc>
      </w:tr>
      <w:tr w14:paraId="248A6A6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6B4B55E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56</w:t>
            </w:r>
          </w:p>
        </w:tc>
        <w:tc>
          <w:tcPr>
            <w:tcW w:w="1114" w:type="pct"/>
            <w:vMerge w:val="continue"/>
            <w:tcBorders>
              <w:top w:val="nil"/>
              <w:left w:val="single" w:color="auto" w:sz="4" w:space="0"/>
              <w:bottom w:val="single" w:color="auto" w:sz="4" w:space="0"/>
              <w:right w:val="single" w:color="auto" w:sz="4" w:space="0"/>
            </w:tcBorders>
            <w:vAlign w:val="center"/>
          </w:tcPr>
          <w:p w14:paraId="73BE107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460500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5DAFA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沉降感知终端</w:t>
            </w:r>
          </w:p>
        </w:tc>
        <w:tc>
          <w:tcPr>
            <w:tcW w:w="1024" w:type="pct"/>
            <w:tcBorders>
              <w:top w:val="nil"/>
              <w:left w:val="nil"/>
              <w:bottom w:val="single" w:color="auto" w:sz="4" w:space="0"/>
              <w:right w:val="single" w:color="auto" w:sz="4" w:space="0"/>
            </w:tcBorders>
            <w:shd w:val="clear" w:color="000000" w:fill="FFFFFF"/>
            <w:vAlign w:val="center"/>
          </w:tcPr>
          <w:p w14:paraId="111BC75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070013</w:t>
            </w:r>
          </w:p>
        </w:tc>
      </w:tr>
      <w:tr w14:paraId="42FBA72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93C583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57</w:t>
            </w:r>
          </w:p>
        </w:tc>
        <w:tc>
          <w:tcPr>
            <w:tcW w:w="1114" w:type="pct"/>
            <w:vMerge w:val="continue"/>
            <w:tcBorders>
              <w:top w:val="nil"/>
              <w:left w:val="single" w:color="auto" w:sz="4" w:space="0"/>
              <w:bottom w:val="single" w:color="auto" w:sz="4" w:space="0"/>
              <w:right w:val="single" w:color="auto" w:sz="4" w:space="0"/>
            </w:tcBorders>
            <w:vAlign w:val="center"/>
          </w:tcPr>
          <w:p w14:paraId="6C80809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045F3E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1A8ED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位移感知终端</w:t>
            </w:r>
          </w:p>
        </w:tc>
        <w:tc>
          <w:tcPr>
            <w:tcW w:w="1024" w:type="pct"/>
            <w:tcBorders>
              <w:top w:val="nil"/>
              <w:left w:val="nil"/>
              <w:bottom w:val="single" w:color="auto" w:sz="4" w:space="0"/>
              <w:right w:val="single" w:color="auto" w:sz="4" w:space="0"/>
            </w:tcBorders>
            <w:shd w:val="clear" w:color="000000" w:fill="FFFFFF"/>
            <w:vAlign w:val="center"/>
          </w:tcPr>
          <w:p w14:paraId="5DB8AAB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070014</w:t>
            </w:r>
          </w:p>
        </w:tc>
      </w:tr>
      <w:tr w14:paraId="5B561B3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2A2F1F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58</w:t>
            </w:r>
          </w:p>
        </w:tc>
        <w:tc>
          <w:tcPr>
            <w:tcW w:w="1114" w:type="pct"/>
            <w:vMerge w:val="continue"/>
            <w:tcBorders>
              <w:top w:val="nil"/>
              <w:left w:val="single" w:color="auto" w:sz="4" w:space="0"/>
              <w:bottom w:val="single" w:color="auto" w:sz="4" w:space="0"/>
              <w:right w:val="single" w:color="auto" w:sz="4" w:space="0"/>
            </w:tcBorders>
            <w:vAlign w:val="center"/>
          </w:tcPr>
          <w:p w14:paraId="3EA275C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A2135F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AAF4AA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渗压计</w:t>
            </w:r>
          </w:p>
        </w:tc>
        <w:tc>
          <w:tcPr>
            <w:tcW w:w="1024" w:type="pct"/>
            <w:tcBorders>
              <w:top w:val="nil"/>
              <w:left w:val="nil"/>
              <w:bottom w:val="single" w:color="auto" w:sz="4" w:space="0"/>
              <w:right w:val="single" w:color="auto" w:sz="4" w:space="0"/>
            </w:tcBorders>
            <w:shd w:val="clear" w:color="000000" w:fill="FFFFFF"/>
            <w:vAlign w:val="center"/>
          </w:tcPr>
          <w:p w14:paraId="620CC96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070015</w:t>
            </w:r>
          </w:p>
        </w:tc>
      </w:tr>
      <w:tr w14:paraId="2495A7B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E49D04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59</w:t>
            </w:r>
          </w:p>
        </w:tc>
        <w:tc>
          <w:tcPr>
            <w:tcW w:w="1114" w:type="pct"/>
            <w:vMerge w:val="continue"/>
            <w:tcBorders>
              <w:top w:val="nil"/>
              <w:left w:val="single" w:color="auto" w:sz="4" w:space="0"/>
              <w:bottom w:val="single" w:color="auto" w:sz="4" w:space="0"/>
              <w:right w:val="single" w:color="auto" w:sz="4" w:space="0"/>
            </w:tcBorders>
            <w:vAlign w:val="center"/>
          </w:tcPr>
          <w:p w14:paraId="08359F2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72D02F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7A3BEA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测缝计</w:t>
            </w:r>
          </w:p>
        </w:tc>
        <w:tc>
          <w:tcPr>
            <w:tcW w:w="1024" w:type="pct"/>
            <w:tcBorders>
              <w:top w:val="nil"/>
              <w:left w:val="nil"/>
              <w:bottom w:val="single" w:color="auto" w:sz="4" w:space="0"/>
              <w:right w:val="single" w:color="auto" w:sz="4" w:space="0"/>
            </w:tcBorders>
            <w:shd w:val="clear" w:color="000000" w:fill="FFFFFF"/>
            <w:vAlign w:val="center"/>
          </w:tcPr>
          <w:p w14:paraId="7A7CFBF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070016</w:t>
            </w:r>
          </w:p>
        </w:tc>
      </w:tr>
      <w:tr w14:paraId="19C5050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2C4C16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60</w:t>
            </w:r>
          </w:p>
        </w:tc>
        <w:tc>
          <w:tcPr>
            <w:tcW w:w="1114" w:type="pct"/>
            <w:vMerge w:val="continue"/>
            <w:tcBorders>
              <w:top w:val="nil"/>
              <w:left w:val="single" w:color="auto" w:sz="4" w:space="0"/>
              <w:bottom w:val="single" w:color="auto" w:sz="4" w:space="0"/>
              <w:right w:val="single" w:color="auto" w:sz="4" w:space="0"/>
            </w:tcBorders>
            <w:vAlign w:val="center"/>
          </w:tcPr>
          <w:p w14:paraId="7766E53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F0C900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BE0659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角度计</w:t>
            </w:r>
          </w:p>
        </w:tc>
        <w:tc>
          <w:tcPr>
            <w:tcW w:w="1024" w:type="pct"/>
            <w:tcBorders>
              <w:top w:val="nil"/>
              <w:left w:val="nil"/>
              <w:bottom w:val="single" w:color="auto" w:sz="4" w:space="0"/>
              <w:right w:val="single" w:color="auto" w:sz="4" w:space="0"/>
            </w:tcBorders>
            <w:shd w:val="clear" w:color="000000" w:fill="FFFFFF"/>
            <w:vAlign w:val="center"/>
          </w:tcPr>
          <w:p w14:paraId="1DBE069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070017</w:t>
            </w:r>
          </w:p>
        </w:tc>
      </w:tr>
      <w:tr w14:paraId="67A920C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90F464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61</w:t>
            </w:r>
          </w:p>
        </w:tc>
        <w:tc>
          <w:tcPr>
            <w:tcW w:w="1114" w:type="pct"/>
            <w:vMerge w:val="continue"/>
            <w:tcBorders>
              <w:top w:val="nil"/>
              <w:left w:val="single" w:color="auto" w:sz="4" w:space="0"/>
              <w:bottom w:val="single" w:color="auto" w:sz="4" w:space="0"/>
              <w:right w:val="single" w:color="auto" w:sz="4" w:space="0"/>
            </w:tcBorders>
            <w:vAlign w:val="center"/>
          </w:tcPr>
          <w:p w14:paraId="6FAC08D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341781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5AB9A2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气压计</w:t>
            </w:r>
          </w:p>
        </w:tc>
        <w:tc>
          <w:tcPr>
            <w:tcW w:w="1024" w:type="pct"/>
            <w:tcBorders>
              <w:top w:val="nil"/>
              <w:left w:val="nil"/>
              <w:bottom w:val="single" w:color="auto" w:sz="4" w:space="0"/>
              <w:right w:val="single" w:color="auto" w:sz="4" w:space="0"/>
            </w:tcBorders>
            <w:shd w:val="clear" w:color="000000" w:fill="FFFFFF"/>
            <w:vAlign w:val="center"/>
          </w:tcPr>
          <w:p w14:paraId="4E117F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070018</w:t>
            </w:r>
          </w:p>
        </w:tc>
      </w:tr>
      <w:tr w14:paraId="56BFD70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5AB788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62</w:t>
            </w:r>
          </w:p>
        </w:tc>
        <w:tc>
          <w:tcPr>
            <w:tcW w:w="1114" w:type="pct"/>
            <w:vMerge w:val="continue"/>
            <w:tcBorders>
              <w:top w:val="nil"/>
              <w:left w:val="single" w:color="auto" w:sz="4" w:space="0"/>
              <w:bottom w:val="single" w:color="auto" w:sz="4" w:space="0"/>
              <w:right w:val="single" w:color="auto" w:sz="4" w:space="0"/>
            </w:tcBorders>
            <w:vAlign w:val="center"/>
          </w:tcPr>
          <w:p w14:paraId="181A96F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348EE8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00D7EC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电压电流计</w:t>
            </w:r>
          </w:p>
        </w:tc>
        <w:tc>
          <w:tcPr>
            <w:tcW w:w="1024" w:type="pct"/>
            <w:tcBorders>
              <w:top w:val="nil"/>
              <w:left w:val="nil"/>
              <w:bottom w:val="single" w:color="auto" w:sz="4" w:space="0"/>
              <w:right w:val="single" w:color="auto" w:sz="4" w:space="0"/>
            </w:tcBorders>
            <w:shd w:val="clear" w:color="000000" w:fill="FFFFFF"/>
            <w:vAlign w:val="center"/>
          </w:tcPr>
          <w:p w14:paraId="55D9F29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070019</w:t>
            </w:r>
          </w:p>
        </w:tc>
      </w:tr>
      <w:tr w14:paraId="0CCFD0E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4E027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63</w:t>
            </w:r>
          </w:p>
        </w:tc>
        <w:tc>
          <w:tcPr>
            <w:tcW w:w="1114" w:type="pct"/>
            <w:vMerge w:val="continue"/>
            <w:tcBorders>
              <w:top w:val="nil"/>
              <w:left w:val="single" w:color="auto" w:sz="4" w:space="0"/>
              <w:bottom w:val="single" w:color="auto" w:sz="4" w:space="0"/>
              <w:right w:val="single" w:color="auto" w:sz="4" w:space="0"/>
            </w:tcBorders>
            <w:vAlign w:val="center"/>
          </w:tcPr>
          <w:p w14:paraId="4C8E21C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FEF90FB">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BEA6B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红外感知终端</w:t>
            </w:r>
          </w:p>
        </w:tc>
        <w:tc>
          <w:tcPr>
            <w:tcW w:w="1024" w:type="pct"/>
            <w:tcBorders>
              <w:top w:val="nil"/>
              <w:left w:val="nil"/>
              <w:bottom w:val="single" w:color="auto" w:sz="4" w:space="0"/>
              <w:right w:val="single" w:color="auto" w:sz="4" w:space="0"/>
            </w:tcBorders>
            <w:shd w:val="clear" w:color="000000" w:fill="FFFFFF"/>
            <w:vAlign w:val="center"/>
          </w:tcPr>
          <w:p w14:paraId="3A0E3C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070020</w:t>
            </w:r>
          </w:p>
        </w:tc>
      </w:tr>
      <w:tr w14:paraId="27CDB15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B1392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64</w:t>
            </w:r>
          </w:p>
        </w:tc>
        <w:tc>
          <w:tcPr>
            <w:tcW w:w="1114" w:type="pct"/>
            <w:vMerge w:val="continue"/>
            <w:tcBorders>
              <w:top w:val="nil"/>
              <w:left w:val="single" w:color="auto" w:sz="4" w:space="0"/>
              <w:bottom w:val="single" w:color="auto" w:sz="4" w:space="0"/>
              <w:right w:val="single" w:color="auto" w:sz="4" w:space="0"/>
            </w:tcBorders>
            <w:vAlign w:val="center"/>
          </w:tcPr>
          <w:p w14:paraId="12887A5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65F73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CD07D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温度计</w:t>
            </w:r>
          </w:p>
        </w:tc>
        <w:tc>
          <w:tcPr>
            <w:tcW w:w="1024" w:type="pct"/>
            <w:tcBorders>
              <w:top w:val="nil"/>
              <w:left w:val="nil"/>
              <w:bottom w:val="single" w:color="auto" w:sz="4" w:space="0"/>
              <w:right w:val="single" w:color="auto" w:sz="4" w:space="0"/>
            </w:tcBorders>
            <w:shd w:val="clear" w:color="000000" w:fill="FFFFFF"/>
            <w:vAlign w:val="center"/>
          </w:tcPr>
          <w:p w14:paraId="1CD5095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070021</w:t>
            </w:r>
          </w:p>
        </w:tc>
      </w:tr>
      <w:tr w14:paraId="358280E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69E1B5AA">
            <w:pPr>
              <w:widowControl/>
              <w:adjustRightInd/>
              <w:spacing w:line="240" w:lineRule="auto"/>
              <w:jc w:val="center"/>
              <w:rPr>
                <w:rFonts w:ascii="Times New Roman" w:hAnsi="Times New Roman" w:eastAsia="等线"/>
                <w:color w:val="000000"/>
                <w:kern w:val="0"/>
                <w:sz w:val="18"/>
                <w:szCs w:val="18"/>
              </w:rPr>
            </w:pPr>
            <w:bookmarkStart w:id="75" w:name="RANGE!A66"/>
            <w:r>
              <w:rPr>
                <w:rFonts w:ascii="Times New Roman" w:hAnsi="Times New Roman" w:eastAsia="等线"/>
                <w:color w:val="000000"/>
                <w:kern w:val="0"/>
                <w:sz w:val="18"/>
                <w:szCs w:val="18"/>
              </w:rPr>
              <w:t>65</w:t>
            </w:r>
            <w:bookmarkEnd w:id="75"/>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7DE8CCB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水文化遗产</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27F7D7F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w:t>
            </w:r>
          </w:p>
        </w:tc>
        <w:tc>
          <w:tcPr>
            <w:tcW w:w="1401" w:type="pct"/>
            <w:tcBorders>
              <w:top w:val="nil"/>
              <w:left w:val="nil"/>
              <w:bottom w:val="single" w:color="auto" w:sz="4" w:space="0"/>
              <w:right w:val="single" w:color="auto" w:sz="4" w:space="0"/>
            </w:tcBorders>
            <w:shd w:val="clear" w:color="auto" w:fill="auto"/>
            <w:vAlign w:val="center"/>
          </w:tcPr>
          <w:p w14:paraId="6D9AAC6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不可移动物质形态水文化遗产</w:t>
            </w:r>
          </w:p>
        </w:tc>
        <w:tc>
          <w:tcPr>
            <w:tcW w:w="1024" w:type="pct"/>
            <w:tcBorders>
              <w:top w:val="nil"/>
              <w:left w:val="nil"/>
              <w:bottom w:val="single" w:color="auto" w:sz="4" w:space="0"/>
              <w:right w:val="single" w:color="auto" w:sz="4" w:space="0"/>
            </w:tcBorders>
            <w:shd w:val="clear" w:color="000000" w:fill="FFFFFF"/>
            <w:vAlign w:val="center"/>
          </w:tcPr>
          <w:p w14:paraId="62CD9EF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080001</w:t>
            </w:r>
          </w:p>
        </w:tc>
      </w:tr>
      <w:tr w14:paraId="1FA7BA1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791BF5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66</w:t>
            </w:r>
          </w:p>
        </w:tc>
        <w:tc>
          <w:tcPr>
            <w:tcW w:w="1114" w:type="pct"/>
            <w:vMerge w:val="continue"/>
            <w:tcBorders>
              <w:top w:val="nil"/>
              <w:left w:val="single" w:color="auto" w:sz="4" w:space="0"/>
              <w:bottom w:val="single" w:color="auto" w:sz="4" w:space="0"/>
              <w:right w:val="single" w:color="auto" w:sz="4" w:space="0"/>
            </w:tcBorders>
            <w:vAlign w:val="center"/>
          </w:tcPr>
          <w:p w14:paraId="1771AFF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027B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vAlign w:val="center"/>
          </w:tcPr>
          <w:p w14:paraId="2C8B12B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可移动物质形态水文化遗产</w:t>
            </w:r>
          </w:p>
        </w:tc>
        <w:tc>
          <w:tcPr>
            <w:tcW w:w="1024" w:type="pct"/>
            <w:tcBorders>
              <w:top w:val="nil"/>
              <w:left w:val="nil"/>
              <w:bottom w:val="single" w:color="auto" w:sz="4" w:space="0"/>
              <w:right w:val="single" w:color="auto" w:sz="4" w:space="0"/>
            </w:tcBorders>
            <w:shd w:val="clear" w:color="000000" w:fill="FFFFFF"/>
            <w:vAlign w:val="center"/>
          </w:tcPr>
          <w:p w14:paraId="308428D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080002</w:t>
            </w:r>
          </w:p>
        </w:tc>
      </w:tr>
      <w:tr w14:paraId="5B9F76D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D8F9B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67</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58C02FD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水资源开发利用</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7FAACA5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w:t>
            </w:r>
          </w:p>
        </w:tc>
        <w:tc>
          <w:tcPr>
            <w:tcW w:w="1401" w:type="pct"/>
            <w:tcBorders>
              <w:top w:val="nil"/>
              <w:left w:val="nil"/>
              <w:bottom w:val="single" w:color="auto" w:sz="4" w:space="0"/>
              <w:right w:val="single" w:color="auto" w:sz="4" w:space="0"/>
            </w:tcBorders>
            <w:shd w:val="clear" w:color="000000" w:fill="FFFFFF"/>
            <w:vAlign w:val="center"/>
          </w:tcPr>
          <w:p w14:paraId="5DC713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机井</w:t>
            </w:r>
          </w:p>
        </w:tc>
        <w:tc>
          <w:tcPr>
            <w:tcW w:w="1024" w:type="pct"/>
            <w:tcBorders>
              <w:top w:val="nil"/>
              <w:left w:val="nil"/>
              <w:bottom w:val="single" w:color="auto" w:sz="4" w:space="0"/>
              <w:right w:val="single" w:color="auto" w:sz="4" w:space="0"/>
            </w:tcBorders>
            <w:shd w:val="clear" w:color="000000" w:fill="FFFFFF"/>
            <w:vAlign w:val="center"/>
          </w:tcPr>
          <w:p w14:paraId="1CA9E1B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090001</w:t>
            </w:r>
          </w:p>
        </w:tc>
      </w:tr>
      <w:tr w14:paraId="596E136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BAA7E8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68</w:t>
            </w:r>
          </w:p>
        </w:tc>
        <w:tc>
          <w:tcPr>
            <w:tcW w:w="1114" w:type="pct"/>
            <w:vMerge w:val="continue"/>
            <w:tcBorders>
              <w:top w:val="nil"/>
              <w:left w:val="single" w:color="auto" w:sz="4" w:space="0"/>
              <w:bottom w:val="single" w:color="auto" w:sz="4" w:space="0"/>
              <w:right w:val="single" w:color="auto" w:sz="4" w:space="0"/>
            </w:tcBorders>
            <w:vAlign w:val="center"/>
          </w:tcPr>
          <w:p w14:paraId="4E2F9C6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D2CC6B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60DAC6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河湖取水口</w:t>
            </w:r>
          </w:p>
        </w:tc>
        <w:tc>
          <w:tcPr>
            <w:tcW w:w="1024" w:type="pct"/>
            <w:tcBorders>
              <w:top w:val="nil"/>
              <w:left w:val="nil"/>
              <w:bottom w:val="single" w:color="auto" w:sz="4" w:space="0"/>
              <w:right w:val="single" w:color="auto" w:sz="4" w:space="0"/>
            </w:tcBorders>
            <w:shd w:val="clear" w:color="000000" w:fill="FFFFFF"/>
            <w:vAlign w:val="center"/>
          </w:tcPr>
          <w:p w14:paraId="3BF55BC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090002</w:t>
            </w:r>
          </w:p>
        </w:tc>
      </w:tr>
      <w:tr w14:paraId="6C35654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42C830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69</w:t>
            </w:r>
          </w:p>
        </w:tc>
        <w:tc>
          <w:tcPr>
            <w:tcW w:w="1114" w:type="pct"/>
            <w:vMerge w:val="continue"/>
            <w:tcBorders>
              <w:top w:val="nil"/>
              <w:left w:val="single" w:color="auto" w:sz="4" w:space="0"/>
              <w:bottom w:val="single" w:color="auto" w:sz="4" w:space="0"/>
              <w:right w:val="single" w:color="auto" w:sz="4" w:space="0"/>
            </w:tcBorders>
            <w:vAlign w:val="center"/>
          </w:tcPr>
          <w:p w14:paraId="42F2D1D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6D4F3E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7A3E08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饮用水水源</w:t>
            </w:r>
          </w:p>
        </w:tc>
        <w:tc>
          <w:tcPr>
            <w:tcW w:w="1024" w:type="pct"/>
            <w:tcBorders>
              <w:top w:val="nil"/>
              <w:left w:val="nil"/>
              <w:bottom w:val="single" w:color="auto" w:sz="4" w:space="0"/>
              <w:right w:val="single" w:color="auto" w:sz="4" w:space="0"/>
            </w:tcBorders>
            <w:shd w:val="clear" w:color="000000" w:fill="FFFFFF"/>
            <w:vAlign w:val="center"/>
          </w:tcPr>
          <w:p w14:paraId="054932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090003</w:t>
            </w:r>
          </w:p>
        </w:tc>
      </w:tr>
      <w:bookmarkEnd w:id="73"/>
    </w:tbl>
    <w:p w14:paraId="2BA7BC33">
      <w:pPr>
        <w:pStyle w:val="67"/>
        <w:spacing w:before="124" w:after="156"/>
      </w:pPr>
      <w:bookmarkStart w:id="76" w:name="_Toc197508803"/>
      <w:bookmarkStart w:id="77" w:name="BookMark6"/>
      <w:r>
        <w:rPr>
          <w:rFonts w:hint="eastAsia"/>
          <w:spacing w:val="105"/>
        </w:rPr>
        <w:t>参考文</w:t>
      </w:r>
      <w:r>
        <w:rPr>
          <w:rFonts w:hint="eastAsia"/>
        </w:rPr>
        <w:t>献</w:t>
      </w:r>
      <w:bookmarkEnd w:id="76"/>
    </w:p>
    <w:bookmarkEnd w:id="77"/>
    <w:p w14:paraId="1C1A31DB">
      <w:pPr>
        <w:pStyle w:val="60"/>
        <w:ind w:firstLine="420"/>
      </w:pPr>
      <w:r>
        <w:rPr>
          <w:rFonts w:hint="eastAsia"/>
        </w:rPr>
        <w:t>[</w:t>
      </w:r>
      <w:r>
        <w:t>1</w:t>
      </w:r>
      <w:r>
        <w:rPr>
          <w:rFonts w:hint="eastAsia"/>
        </w:rPr>
        <w:t>]</w:t>
      </w:r>
      <w:r>
        <w:rPr>
          <w:rFonts w:hint="eastAsia"/>
        </w:rPr>
        <w:tab/>
      </w:r>
      <w:r>
        <w:t xml:space="preserve">GB/T 33113-2016  </w:t>
      </w:r>
      <w:r>
        <w:rPr>
          <w:rFonts w:hint="eastAsia"/>
        </w:rPr>
        <w:t>水资源</w:t>
      </w:r>
      <w:r>
        <w:t>管理</w:t>
      </w:r>
      <w:r>
        <w:rPr>
          <w:rFonts w:hint="eastAsia"/>
        </w:rPr>
        <w:t>信息</w:t>
      </w:r>
      <w:r>
        <w:t>对象代码编制规范</w:t>
      </w:r>
    </w:p>
    <w:p w14:paraId="2425F855">
      <w:pPr>
        <w:pStyle w:val="60"/>
        <w:ind w:firstLine="420"/>
      </w:pPr>
      <w:r>
        <w:rPr>
          <w:rFonts w:hint="eastAsia"/>
        </w:rPr>
        <w:t>[2]</w:t>
      </w:r>
      <w:r>
        <w:rPr>
          <w:rFonts w:hint="eastAsia"/>
        </w:rPr>
        <w:tab/>
      </w:r>
      <w:r>
        <w:t>SL</w:t>
      </w:r>
      <w:r>
        <w:rPr>
          <w:rFonts w:hint="eastAsia"/>
        </w:rPr>
        <w:t>/T 701—2021  水利</w:t>
      </w:r>
      <w:r>
        <w:t>信息分类与编码总则</w:t>
      </w:r>
    </w:p>
    <w:p w14:paraId="64A56AD0">
      <w:pPr>
        <w:pStyle w:val="60"/>
        <w:ind w:firstLine="420"/>
      </w:pPr>
      <w:r>
        <w:rPr>
          <w:rFonts w:hint="eastAsia"/>
        </w:rPr>
        <w:t>[</w:t>
      </w:r>
      <w:r>
        <w:t>3</w:t>
      </w:r>
      <w:r>
        <w:rPr>
          <w:rFonts w:hint="eastAsia"/>
        </w:rPr>
        <w:t>]</w:t>
      </w:r>
      <w:r>
        <w:rPr>
          <w:rFonts w:hint="eastAsia"/>
        </w:rPr>
        <w:tab/>
      </w:r>
      <w:r>
        <w:rPr>
          <w:rFonts w:hint="eastAsia"/>
        </w:rPr>
        <w:t>SL</w:t>
      </w:r>
      <w:r>
        <w:t xml:space="preserve"> </w:t>
      </w:r>
      <w:r>
        <w:rPr>
          <w:rFonts w:hint="eastAsia"/>
        </w:rPr>
        <w:t>249-2012</w:t>
      </w:r>
      <w:r>
        <w:t xml:space="preserve">  </w:t>
      </w:r>
      <w:r>
        <w:rPr>
          <w:rFonts w:hint="eastAsia"/>
        </w:rPr>
        <w:t>中国</w:t>
      </w:r>
      <w:r>
        <w:t>河流代码</w:t>
      </w:r>
    </w:p>
    <w:p w14:paraId="25DCF132">
      <w:pPr>
        <w:pStyle w:val="60"/>
        <w:ind w:firstLine="420"/>
      </w:pPr>
      <w:r>
        <w:rPr>
          <w:rFonts w:hint="eastAsia"/>
        </w:rPr>
        <w:t>[</w:t>
      </w:r>
      <w:r>
        <w:t>4</w:t>
      </w:r>
      <w:r>
        <w:rPr>
          <w:rFonts w:hint="eastAsia"/>
        </w:rPr>
        <w:t>]</w:t>
      </w:r>
      <w:r>
        <w:rPr>
          <w:rFonts w:hint="eastAsia"/>
        </w:rPr>
        <w:tab/>
      </w:r>
      <w:r>
        <w:t xml:space="preserve">SL 502-2010  </w:t>
      </w:r>
      <w:r>
        <w:rPr>
          <w:rFonts w:hint="eastAsia"/>
        </w:rPr>
        <w:t>水文</w:t>
      </w:r>
      <w:r>
        <w:t>测站代码编制导则</w:t>
      </w:r>
    </w:p>
    <w:p w14:paraId="2D78DF9F">
      <w:pPr>
        <w:pStyle w:val="60"/>
        <w:ind w:firstLine="420"/>
      </w:pPr>
      <w:r>
        <w:rPr>
          <w:rFonts w:hint="eastAsia"/>
        </w:rPr>
        <w:t>[</w:t>
      </w:r>
      <w:r>
        <w:t>5</w:t>
      </w:r>
      <w:r>
        <w:rPr>
          <w:rFonts w:hint="eastAsia"/>
        </w:rPr>
        <w:t>]</w:t>
      </w:r>
      <w:r>
        <w:rPr>
          <w:rFonts w:hint="eastAsia"/>
        </w:rPr>
        <w:tab/>
      </w:r>
      <w:r>
        <w:rPr>
          <w:rFonts w:hint="eastAsia"/>
        </w:rPr>
        <w:t>DB11/T 1172-2015  河流、</w:t>
      </w:r>
      <w:r>
        <w:t>流域名称代码</w:t>
      </w:r>
    </w:p>
    <w:p w14:paraId="758ED831">
      <w:pPr>
        <w:pStyle w:val="60"/>
        <w:ind w:firstLine="420"/>
      </w:pPr>
      <w:r>
        <w:rPr>
          <w:rFonts w:hint="eastAsia"/>
        </w:rPr>
        <w:t>[</w:t>
      </w:r>
      <w:r>
        <w:t>6</w:t>
      </w:r>
      <w:r>
        <w:rPr>
          <w:rFonts w:hint="eastAsia"/>
        </w:rPr>
        <w:t>]</w:t>
      </w:r>
      <w:r>
        <w:rPr>
          <w:rFonts w:hint="eastAsia"/>
        </w:rPr>
        <w:tab/>
      </w:r>
      <w:r>
        <w:rPr>
          <w:rFonts w:hint="eastAsia"/>
        </w:rPr>
        <w:t>关于印发《北京城市码建设指导意见》和《北京城市二维码编码规则（试行）》的通知（京</w:t>
      </w:r>
      <w:r>
        <w:t>大数据办</w:t>
      </w:r>
      <w:r>
        <w:rPr>
          <w:rFonts w:hint="eastAsia"/>
        </w:rPr>
        <w:t>发〔2021〕5号）</w:t>
      </w:r>
    </w:p>
    <w:bookmarkEnd w:id="72"/>
    <w:p w14:paraId="22BA0811">
      <w:pPr>
        <w:pStyle w:val="60"/>
        <w:ind w:firstLine="0" w:firstLineChars="0"/>
        <w:jc w:val="center"/>
      </w:pPr>
      <w:bookmarkStart w:id="7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439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574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BACF">
    <w:pPr>
      <w:pStyle w:val="56"/>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64B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B14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7BFB">
    <w:pPr>
      <w:pStyle w:val="65"/>
    </w:pPr>
    <w:r>
      <w:fldChar w:fldCharType="begin"/>
    </w:r>
    <w:r>
      <w:instrText xml:space="preserve"> STYLEREF  标准文件_文件编号  \* MERGEFORMAT </w:instrText>
    </w:r>
    <w:r>
      <w:fldChar w:fldCharType="separate"/>
    </w:r>
    <w:r>
      <w:t>DB11/T XXXX.1—XXXX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DE4A">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XXXX.1—XXXX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0D4154C"/>
    <w:multiLevelType w:val="multilevel"/>
    <w:tmpl w:val="20D4154C"/>
    <w:lvl w:ilvl="0" w:tentative="0">
      <w:start w:val="1"/>
      <w:numFmt w:val="decimal"/>
      <w:pStyle w:val="236"/>
      <w:lvlText w:val="%1."/>
      <w:lvlJc w:val="left"/>
      <w:pPr>
        <w:tabs>
          <w:tab w:val="left" w:pos="720"/>
        </w:tabs>
        <w:ind w:left="720" w:hanging="720"/>
      </w:pPr>
    </w:lvl>
    <w:lvl w:ilvl="1" w:tentative="0">
      <w:start w:val="1"/>
      <w:numFmt w:val="decimal"/>
      <w:pStyle w:val="23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211A1562"/>
    <w:multiLevelType w:val="multilevel"/>
    <w:tmpl w:val="211A1562"/>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4EA54DC5"/>
    <w:multiLevelType w:val="multilevel"/>
    <w:tmpl w:val="4EA54DC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283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425"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A40E3C"/>
    <w:multiLevelType w:val="multilevel"/>
    <w:tmpl w:val="7FA40E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8"/>
  </w:num>
  <w:num w:numId="8">
    <w:abstractNumId w:val="3"/>
  </w:num>
  <w:num w:numId="9">
    <w:abstractNumId w:val="9"/>
  </w:num>
  <w:num w:numId="10">
    <w:abstractNumId w:val="19"/>
  </w:num>
  <w:num w:numId="11">
    <w:abstractNumId w:val="28"/>
  </w:num>
  <w:num w:numId="12">
    <w:abstractNumId w:val="13"/>
  </w:num>
  <w:num w:numId="13">
    <w:abstractNumId w:val="14"/>
  </w:num>
  <w:num w:numId="14">
    <w:abstractNumId w:val="7"/>
  </w:num>
  <w:num w:numId="15">
    <w:abstractNumId w:val="22"/>
  </w:num>
  <w:num w:numId="16">
    <w:abstractNumId w:val="24"/>
  </w:num>
  <w:num w:numId="17">
    <w:abstractNumId w:val="20"/>
  </w:num>
  <w:num w:numId="18">
    <w:abstractNumId w:val="32"/>
  </w:num>
  <w:num w:numId="19">
    <w:abstractNumId w:val="17"/>
  </w:num>
  <w:num w:numId="20">
    <w:abstractNumId w:val="1"/>
  </w:num>
  <w:num w:numId="21">
    <w:abstractNumId w:val="33"/>
  </w:num>
  <w:num w:numId="22">
    <w:abstractNumId w:val="23"/>
  </w:num>
  <w:num w:numId="23">
    <w:abstractNumId w:val="6"/>
  </w:num>
  <w:num w:numId="24">
    <w:abstractNumId w:val="29"/>
  </w:num>
  <w:num w:numId="25">
    <w:abstractNumId w:val="31"/>
  </w:num>
  <w:num w:numId="26">
    <w:abstractNumId w:val="2"/>
  </w:num>
  <w:num w:numId="27">
    <w:abstractNumId w:val="4"/>
  </w:num>
  <w:num w:numId="28">
    <w:abstractNumId w:val="16"/>
  </w:num>
  <w:num w:numId="29">
    <w:abstractNumId w:val="27"/>
  </w:num>
  <w:num w:numId="30">
    <w:abstractNumId w:val="25"/>
  </w:num>
  <w:num w:numId="31">
    <w:abstractNumId w:val="10"/>
  </w:num>
  <w:num w:numId="32">
    <w:abstractNumId w:val="12"/>
  </w:num>
  <w:num w:numId="33">
    <w:abstractNumId w:val="18"/>
  </w:num>
  <w:num w:numId="34">
    <w:abstractNumId w:val="11"/>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DhkMWIxMWY5OGViZDVjN2U3OTk4ZmQ0NjEwYWMifQ=="/>
  </w:docVars>
  <w:rsids>
    <w:rsidRoot w:val="00754391"/>
    <w:rsid w:val="0000040A"/>
    <w:rsid w:val="00000A94"/>
    <w:rsid w:val="00001972"/>
    <w:rsid w:val="00001D9A"/>
    <w:rsid w:val="000023CE"/>
    <w:rsid w:val="00007B3A"/>
    <w:rsid w:val="00010130"/>
    <w:rsid w:val="000107E0"/>
    <w:rsid w:val="00011FDE"/>
    <w:rsid w:val="000129D9"/>
    <w:rsid w:val="00012FFD"/>
    <w:rsid w:val="00014162"/>
    <w:rsid w:val="00014340"/>
    <w:rsid w:val="00016A9C"/>
    <w:rsid w:val="00017EBC"/>
    <w:rsid w:val="00017F83"/>
    <w:rsid w:val="00020763"/>
    <w:rsid w:val="00021810"/>
    <w:rsid w:val="00022184"/>
    <w:rsid w:val="00022762"/>
    <w:rsid w:val="000238E0"/>
    <w:rsid w:val="000249DB"/>
    <w:rsid w:val="0002595E"/>
    <w:rsid w:val="000303C3"/>
    <w:rsid w:val="00031482"/>
    <w:rsid w:val="00031C22"/>
    <w:rsid w:val="000331D3"/>
    <w:rsid w:val="000346A5"/>
    <w:rsid w:val="0003548C"/>
    <w:rsid w:val="000359C3"/>
    <w:rsid w:val="00035A7D"/>
    <w:rsid w:val="000365ED"/>
    <w:rsid w:val="00037D03"/>
    <w:rsid w:val="00040C00"/>
    <w:rsid w:val="00041345"/>
    <w:rsid w:val="0004249A"/>
    <w:rsid w:val="00043282"/>
    <w:rsid w:val="00043E66"/>
    <w:rsid w:val="00044286"/>
    <w:rsid w:val="00044994"/>
    <w:rsid w:val="000465E7"/>
    <w:rsid w:val="00047F28"/>
    <w:rsid w:val="000503AA"/>
    <w:rsid w:val="000506A1"/>
    <w:rsid w:val="00050B63"/>
    <w:rsid w:val="00051502"/>
    <w:rsid w:val="000515DD"/>
    <w:rsid w:val="00051A33"/>
    <w:rsid w:val="0005265A"/>
    <w:rsid w:val="000539DD"/>
    <w:rsid w:val="00053BD3"/>
    <w:rsid w:val="00054290"/>
    <w:rsid w:val="000556ED"/>
    <w:rsid w:val="00055FE2"/>
    <w:rsid w:val="0005616F"/>
    <w:rsid w:val="00060700"/>
    <w:rsid w:val="00060C2E"/>
    <w:rsid w:val="00060E08"/>
    <w:rsid w:val="00061033"/>
    <w:rsid w:val="000615F4"/>
    <w:rsid w:val="000619E9"/>
    <w:rsid w:val="000622D4"/>
    <w:rsid w:val="0006357D"/>
    <w:rsid w:val="00067803"/>
    <w:rsid w:val="0006798A"/>
    <w:rsid w:val="00067B6F"/>
    <w:rsid w:val="00067F1E"/>
    <w:rsid w:val="00071CC0"/>
    <w:rsid w:val="00073C8C"/>
    <w:rsid w:val="00073FE9"/>
    <w:rsid w:val="00074FF0"/>
    <w:rsid w:val="00077B64"/>
    <w:rsid w:val="0008027C"/>
    <w:rsid w:val="00080A1C"/>
    <w:rsid w:val="00080B48"/>
    <w:rsid w:val="00080E1E"/>
    <w:rsid w:val="00082317"/>
    <w:rsid w:val="000839F6"/>
    <w:rsid w:val="00083D2C"/>
    <w:rsid w:val="00086AA1"/>
    <w:rsid w:val="00087591"/>
    <w:rsid w:val="00087A77"/>
    <w:rsid w:val="00090CA6"/>
    <w:rsid w:val="00090D54"/>
    <w:rsid w:val="00092354"/>
    <w:rsid w:val="00092B8A"/>
    <w:rsid w:val="00092FB0"/>
    <w:rsid w:val="000934C5"/>
    <w:rsid w:val="00093D25"/>
    <w:rsid w:val="00093DAB"/>
    <w:rsid w:val="00094D73"/>
    <w:rsid w:val="00094EF3"/>
    <w:rsid w:val="00095572"/>
    <w:rsid w:val="00096D63"/>
    <w:rsid w:val="000A0B60"/>
    <w:rsid w:val="000A0DE8"/>
    <w:rsid w:val="000A0EB8"/>
    <w:rsid w:val="000A19FC"/>
    <w:rsid w:val="000A296B"/>
    <w:rsid w:val="000A34E3"/>
    <w:rsid w:val="000A39E4"/>
    <w:rsid w:val="000A68A7"/>
    <w:rsid w:val="000A7311"/>
    <w:rsid w:val="000B060F"/>
    <w:rsid w:val="000B1592"/>
    <w:rsid w:val="000B1FF2"/>
    <w:rsid w:val="000B351E"/>
    <w:rsid w:val="000B3CDA"/>
    <w:rsid w:val="000B6A0B"/>
    <w:rsid w:val="000B6A39"/>
    <w:rsid w:val="000B71D1"/>
    <w:rsid w:val="000C0F6C"/>
    <w:rsid w:val="000C11DB"/>
    <w:rsid w:val="000C1492"/>
    <w:rsid w:val="000C2FBD"/>
    <w:rsid w:val="000C331D"/>
    <w:rsid w:val="000C4B41"/>
    <w:rsid w:val="000C57D6"/>
    <w:rsid w:val="000C61F2"/>
    <w:rsid w:val="000C6362"/>
    <w:rsid w:val="000C668F"/>
    <w:rsid w:val="000C7666"/>
    <w:rsid w:val="000D0A9C"/>
    <w:rsid w:val="000D1795"/>
    <w:rsid w:val="000D329A"/>
    <w:rsid w:val="000D34B5"/>
    <w:rsid w:val="000D4B9C"/>
    <w:rsid w:val="000D4EB6"/>
    <w:rsid w:val="000D6E26"/>
    <w:rsid w:val="000D753B"/>
    <w:rsid w:val="000E0081"/>
    <w:rsid w:val="000E4C9E"/>
    <w:rsid w:val="000E5AAF"/>
    <w:rsid w:val="000E5ABC"/>
    <w:rsid w:val="000E6FD7"/>
    <w:rsid w:val="000F06E1"/>
    <w:rsid w:val="000F0E3C"/>
    <w:rsid w:val="000F19D5"/>
    <w:rsid w:val="000F2481"/>
    <w:rsid w:val="000F2A72"/>
    <w:rsid w:val="000F2FCF"/>
    <w:rsid w:val="000F4AEA"/>
    <w:rsid w:val="000F6248"/>
    <w:rsid w:val="000F633F"/>
    <w:rsid w:val="000F67E9"/>
    <w:rsid w:val="00104926"/>
    <w:rsid w:val="00112468"/>
    <w:rsid w:val="00113B1E"/>
    <w:rsid w:val="00113BEB"/>
    <w:rsid w:val="001155F9"/>
    <w:rsid w:val="0011711C"/>
    <w:rsid w:val="0012059C"/>
    <w:rsid w:val="001223FD"/>
    <w:rsid w:val="001245E0"/>
    <w:rsid w:val="0012466A"/>
    <w:rsid w:val="00124E4F"/>
    <w:rsid w:val="001260B7"/>
    <w:rsid w:val="0012611B"/>
    <w:rsid w:val="001265CB"/>
    <w:rsid w:val="001266FC"/>
    <w:rsid w:val="00131FC8"/>
    <w:rsid w:val="001321C6"/>
    <w:rsid w:val="001325C4"/>
    <w:rsid w:val="00133010"/>
    <w:rsid w:val="001338EE"/>
    <w:rsid w:val="00133AAE"/>
    <w:rsid w:val="00134D85"/>
    <w:rsid w:val="00135323"/>
    <w:rsid w:val="001356C4"/>
    <w:rsid w:val="001376D0"/>
    <w:rsid w:val="00140F6B"/>
    <w:rsid w:val="00141114"/>
    <w:rsid w:val="00141A5F"/>
    <w:rsid w:val="00142969"/>
    <w:rsid w:val="001446C2"/>
    <w:rsid w:val="001457E7"/>
    <w:rsid w:val="00145D9D"/>
    <w:rsid w:val="00145DF5"/>
    <w:rsid w:val="00146388"/>
    <w:rsid w:val="001468F4"/>
    <w:rsid w:val="00146904"/>
    <w:rsid w:val="0015121A"/>
    <w:rsid w:val="00151401"/>
    <w:rsid w:val="00152734"/>
    <w:rsid w:val="001529E5"/>
    <w:rsid w:val="001538E0"/>
    <w:rsid w:val="00153C7E"/>
    <w:rsid w:val="0015457C"/>
    <w:rsid w:val="00154DF3"/>
    <w:rsid w:val="0015592C"/>
    <w:rsid w:val="00156B25"/>
    <w:rsid w:val="00156E1A"/>
    <w:rsid w:val="00157894"/>
    <w:rsid w:val="00157B55"/>
    <w:rsid w:val="00160610"/>
    <w:rsid w:val="00160C4C"/>
    <w:rsid w:val="0016141E"/>
    <w:rsid w:val="001642FA"/>
    <w:rsid w:val="001649EB"/>
    <w:rsid w:val="00164BAF"/>
    <w:rsid w:val="00164FA8"/>
    <w:rsid w:val="00165065"/>
    <w:rsid w:val="00165434"/>
    <w:rsid w:val="0016580B"/>
    <w:rsid w:val="00165F49"/>
    <w:rsid w:val="00166B88"/>
    <w:rsid w:val="0016770A"/>
    <w:rsid w:val="00167C6F"/>
    <w:rsid w:val="00170804"/>
    <w:rsid w:val="001708E9"/>
    <w:rsid w:val="00170C71"/>
    <w:rsid w:val="0017340B"/>
    <w:rsid w:val="00173FB1"/>
    <w:rsid w:val="00174C38"/>
    <w:rsid w:val="00176DFD"/>
    <w:rsid w:val="001813FF"/>
    <w:rsid w:val="00183D7C"/>
    <w:rsid w:val="001852C9"/>
    <w:rsid w:val="001861DC"/>
    <w:rsid w:val="0018628A"/>
    <w:rsid w:val="00187BB9"/>
    <w:rsid w:val="00190087"/>
    <w:rsid w:val="001913C4"/>
    <w:rsid w:val="0019258D"/>
    <w:rsid w:val="0019348F"/>
    <w:rsid w:val="00193A07"/>
    <w:rsid w:val="00193D6F"/>
    <w:rsid w:val="00194C95"/>
    <w:rsid w:val="00195C1D"/>
    <w:rsid w:val="00195C34"/>
    <w:rsid w:val="00196EF5"/>
    <w:rsid w:val="001A1A53"/>
    <w:rsid w:val="001A234A"/>
    <w:rsid w:val="001A29B6"/>
    <w:rsid w:val="001A4CF3"/>
    <w:rsid w:val="001A76B7"/>
    <w:rsid w:val="001B06E8"/>
    <w:rsid w:val="001B0FF1"/>
    <w:rsid w:val="001B237B"/>
    <w:rsid w:val="001B3614"/>
    <w:rsid w:val="001B71D0"/>
    <w:rsid w:val="001B71EE"/>
    <w:rsid w:val="001C04A8"/>
    <w:rsid w:val="001C13B7"/>
    <w:rsid w:val="001C2C03"/>
    <w:rsid w:val="001C42F7"/>
    <w:rsid w:val="001C49E5"/>
    <w:rsid w:val="001C680C"/>
    <w:rsid w:val="001C7FEA"/>
    <w:rsid w:val="001D0499"/>
    <w:rsid w:val="001D0BBE"/>
    <w:rsid w:val="001D0ED4"/>
    <w:rsid w:val="001D20CC"/>
    <w:rsid w:val="001D212F"/>
    <w:rsid w:val="001D21CF"/>
    <w:rsid w:val="001D29D7"/>
    <w:rsid w:val="001D2C95"/>
    <w:rsid w:val="001D2DE7"/>
    <w:rsid w:val="001D411C"/>
    <w:rsid w:val="001D4E1A"/>
    <w:rsid w:val="001D565D"/>
    <w:rsid w:val="001D791C"/>
    <w:rsid w:val="001E082F"/>
    <w:rsid w:val="001E1B6A"/>
    <w:rsid w:val="001E2484"/>
    <w:rsid w:val="001E3CC4"/>
    <w:rsid w:val="001E4882"/>
    <w:rsid w:val="001E73AB"/>
    <w:rsid w:val="001F068C"/>
    <w:rsid w:val="001F092D"/>
    <w:rsid w:val="001F143A"/>
    <w:rsid w:val="001F1605"/>
    <w:rsid w:val="001F2508"/>
    <w:rsid w:val="001F3796"/>
    <w:rsid w:val="001F4816"/>
    <w:rsid w:val="001F4EE9"/>
    <w:rsid w:val="001F69B4"/>
    <w:rsid w:val="001F77C7"/>
    <w:rsid w:val="00200183"/>
    <w:rsid w:val="00200333"/>
    <w:rsid w:val="0020107D"/>
    <w:rsid w:val="00202AA4"/>
    <w:rsid w:val="002031F7"/>
    <w:rsid w:val="002040E6"/>
    <w:rsid w:val="002047AB"/>
    <w:rsid w:val="00204CD0"/>
    <w:rsid w:val="0020527B"/>
    <w:rsid w:val="00205F2C"/>
    <w:rsid w:val="00210B15"/>
    <w:rsid w:val="002118C0"/>
    <w:rsid w:val="00212A01"/>
    <w:rsid w:val="002134F8"/>
    <w:rsid w:val="002142EA"/>
    <w:rsid w:val="002204BB"/>
    <w:rsid w:val="00221B79"/>
    <w:rsid w:val="00221C6B"/>
    <w:rsid w:val="00222564"/>
    <w:rsid w:val="00224A6F"/>
    <w:rsid w:val="002253A1"/>
    <w:rsid w:val="00225CF8"/>
    <w:rsid w:val="00226E2F"/>
    <w:rsid w:val="0022794E"/>
    <w:rsid w:val="00232222"/>
    <w:rsid w:val="00233A2E"/>
    <w:rsid w:val="00233D64"/>
    <w:rsid w:val="00233E5C"/>
    <w:rsid w:val="0023482A"/>
    <w:rsid w:val="002359CB"/>
    <w:rsid w:val="0023664D"/>
    <w:rsid w:val="002373E4"/>
    <w:rsid w:val="0024353D"/>
    <w:rsid w:val="00243540"/>
    <w:rsid w:val="00244456"/>
    <w:rsid w:val="0024497B"/>
    <w:rsid w:val="0024515B"/>
    <w:rsid w:val="00246021"/>
    <w:rsid w:val="002463E2"/>
    <w:rsid w:val="0024666E"/>
    <w:rsid w:val="00247F52"/>
    <w:rsid w:val="00247FD3"/>
    <w:rsid w:val="00250B25"/>
    <w:rsid w:val="00250BBE"/>
    <w:rsid w:val="00250E7C"/>
    <w:rsid w:val="002515C2"/>
    <w:rsid w:val="0025194F"/>
    <w:rsid w:val="002524F6"/>
    <w:rsid w:val="00254B69"/>
    <w:rsid w:val="00254BE0"/>
    <w:rsid w:val="00255E15"/>
    <w:rsid w:val="00260B74"/>
    <w:rsid w:val="0026148A"/>
    <w:rsid w:val="00262696"/>
    <w:rsid w:val="00263D25"/>
    <w:rsid w:val="002643C3"/>
    <w:rsid w:val="00264A0C"/>
    <w:rsid w:val="00266EEB"/>
    <w:rsid w:val="00267EF4"/>
    <w:rsid w:val="00270529"/>
    <w:rsid w:val="00270CB8"/>
    <w:rsid w:val="00272947"/>
    <w:rsid w:val="00272B08"/>
    <w:rsid w:val="002747AD"/>
    <w:rsid w:val="002763C0"/>
    <w:rsid w:val="00280D5C"/>
    <w:rsid w:val="00281928"/>
    <w:rsid w:val="00281BB8"/>
    <w:rsid w:val="00281E9E"/>
    <w:rsid w:val="00282405"/>
    <w:rsid w:val="00282C98"/>
    <w:rsid w:val="00283814"/>
    <w:rsid w:val="00285170"/>
    <w:rsid w:val="00285361"/>
    <w:rsid w:val="00287E70"/>
    <w:rsid w:val="002908DA"/>
    <w:rsid w:val="00292761"/>
    <w:rsid w:val="00292D60"/>
    <w:rsid w:val="00293B30"/>
    <w:rsid w:val="002946BF"/>
    <w:rsid w:val="00294D34"/>
    <w:rsid w:val="00294E3B"/>
    <w:rsid w:val="00294FCF"/>
    <w:rsid w:val="00296193"/>
    <w:rsid w:val="00296C66"/>
    <w:rsid w:val="00296EBE"/>
    <w:rsid w:val="002974E3"/>
    <w:rsid w:val="002A02DA"/>
    <w:rsid w:val="002A084B"/>
    <w:rsid w:val="002A0A21"/>
    <w:rsid w:val="002A1260"/>
    <w:rsid w:val="002A1481"/>
    <w:rsid w:val="002A1589"/>
    <w:rsid w:val="002A1608"/>
    <w:rsid w:val="002A25DC"/>
    <w:rsid w:val="002A2F24"/>
    <w:rsid w:val="002A366D"/>
    <w:rsid w:val="002A3AAB"/>
    <w:rsid w:val="002A46DA"/>
    <w:rsid w:val="002A4CEA"/>
    <w:rsid w:val="002A5393"/>
    <w:rsid w:val="002A5977"/>
    <w:rsid w:val="002A5A13"/>
    <w:rsid w:val="002A757F"/>
    <w:rsid w:val="002A76C8"/>
    <w:rsid w:val="002A7F44"/>
    <w:rsid w:val="002B0C40"/>
    <w:rsid w:val="002B1966"/>
    <w:rsid w:val="002B2120"/>
    <w:rsid w:val="002B2223"/>
    <w:rsid w:val="002B4508"/>
    <w:rsid w:val="002B48AE"/>
    <w:rsid w:val="002B4CA2"/>
    <w:rsid w:val="002B5779"/>
    <w:rsid w:val="002B6802"/>
    <w:rsid w:val="002B6B7D"/>
    <w:rsid w:val="002B7332"/>
    <w:rsid w:val="002B7F51"/>
    <w:rsid w:val="002C09E7"/>
    <w:rsid w:val="002C1E06"/>
    <w:rsid w:val="002C1E1C"/>
    <w:rsid w:val="002C3F07"/>
    <w:rsid w:val="002C5278"/>
    <w:rsid w:val="002C7EBB"/>
    <w:rsid w:val="002D06C1"/>
    <w:rsid w:val="002D0BC1"/>
    <w:rsid w:val="002D133B"/>
    <w:rsid w:val="002D1E77"/>
    <w:rsid w:val="002D2BD4"/>
    <w:rsid w:val="002D41C2"/>
    <w:rsid w:val="002D42B5"/>
    <w:rsid w:val="002D4F1A"/>
    <w:rsid w:val="002D6894"/>
    <w:rsid w:val="002D6EC6"/>
    <w:rsid w:val="002D79AC"/>
    <w:rsid w:val="002E039D"/>
    <w:rsid w:val="002E0AD2"/>
    <w:rsid w:val="002E1B8D"/>
    <w:rsid w:val="002E4D5A"/>
    <w:rsid w:val="002E6326"/>
    <w:rsid w:val="002E75F6"/>
    <w:rsid w:val="002F0166"/>
    <w:rsid w:val="002F0580"/>
    <w:rsid w:val="002F05BB"/>
    <w:rsid w:val="002F1818"/>
    <w:rsid w:val="002F2ADF"/>
    <w:rsid w:val="002F30E0"/>
    <w:rsid w:val="002F35E4"/>
    <w:rsid w:val="002F3730"/>
    <w:rsid w:val="002F38E1"/>
    <w:rsid w:val="002F423D"/>
    <w:rsid w:val="002F47ED"/>
    <w:rsid w:val="002F58DC"/>
    <w:rsid w:val="002F61A5"/>
    <w:rsid w:val="002F7AF6"/>
    <w:rsid w:val="002F7ED2"/>
    <w:rsid w:val="00300E63"/>
    <w:rsid w:val="00301DDC"/>
    <w:rsid w:val="00302F5F"/>
    <w:rsid w:val="0030441D"/>
    <w:rsid w:val="00306063"/>
    <w:rsid w:val="003105C9"/>
    <w:rsid w:val="00313B85"/>
    <w:rsid w:val="00315152"/>
    <w:rsid w:val="00315631"/>
    <w:rsid w:val="003171F3"/>
    <w:rsid w:val="00317703"/>
    <w:rsid w:val="00317988"/>
    <w:rsid w:val="003221B4"/>
    <w:rsid w:val="0032258D"/>
    <w:rsid w:val="00322E62"/>
    <w:rsid w:val="00322F00"/>
    <w:rsid w:val="00324D13"/>
    <w:rsid w:val="00324D2A"/>
    <w:rsid w:val="00324EDD"/>
    <w:rsid w:val="00330D0D"/>
    <w:rsid w:val="00332DEA"/>
    <w:rsid w:val="003331E4"/>
    <w:rsid w:val="00336014"/>
    <w:rsid w:val="00336C64"/>
    <w:rsid w:val="00337162"/>
    <w:rsid w:val="003414E7"/>
    <w:rsid w:val="0034194F"/>
    <w:rsid w:val="00341D0C"/>
    <w:rsid w:val="00342191"/>
    <w:rsid w:val="00344605"/>
    <w:rsid w:val="00346B27"/>
    <w:rsid w:val="003474AA"/>
    <w:rsid w:val="003479E6"/>
    <w:rsid w:val="00350D1D"/>
    <w:rsid w:val="00352C83"/>
    <w:rsid w:val="00353022"/>
    <w:rsid w:val="00353233"/>
    <w:rsid w:val="003579B2"/>
    <w:rsid w:val="003612F8"/>
    <w:rsid w:val="003615D2"/>
    <w:rsid w:val="00361E85"/>
    <w:rsid w:val="00361F5B"/>
    <w:rsid w:val="0036429C"/>
    <w:rsid w:val="00364A53"/>
    <w:rsid w:val="003654CB"/>
    <w:rsid w:val="00365504"/>
    <w:rsid w:val="00365AA9"/>
    <w:rsid w:val="00365E7E"/>
    <w:rsid w:val="00365F86"/>
    <w:rsid w:val="00365F87"/>
    <w:rsid w:val="00366692"/>
    <w:rsid w:val="00366CD3"/>
    <w:rsid w:val="00366E89"/>
    <w:rsid w:val="0037004B"/>
    <w:rsid w:val="003705F4"/>
    <w:rsid w:val="00370D58"/>
    <w:rsid w:val="00371316"/>
    <w:rsid w:val="00374082"/>
    <w:rsid w:val="00374ABA"/>
    <w:rsid w:val="0037543A"/>
    <w:rsid w:val="003765CB"/>
    <w:rsid w:val="00376713"/>
    <w:rsid w:val="00381815"/>
    <w:rsid w:val="003819AF"/>
    <w:rsid w:val="003820E9"/>
    <w:rsid w:val="00382DE7"/>
    <w:rsid w:val="00384FFC"/>
    <w:rsid w:val="00385B1C"/>
    <w:rsid w:val="0038643C"/>
    <w:rsid w:val="003872FC"/>
    <w:rsid w:val="00387ADC"/>
    <w:rsid w:val="00390020"/>
    <w:rsid w:val="003903D6"/>
    <w:rsid w:val="0039088C"/>
    <w:rsid w:val="00390EE6"/>
    <w:rsid w:val="0039118F"/>
    <w:rsid w:val="00392AD7"/>
    <w:rsid w:val="003938D9"/>
    <w:rsid w:val="00394376"/>
    <w:rsid w:val="003943FF"/>
    <w:rsid w:val="00395700"/>
    <w:rsid w:val="0039624A"/>
    <w:rsid w:val="003974EB"/>
    <w:rsid w:val="00397CC5"/>
    <w:rsid w:val="003A1582"/>
    <w:rsid w:val="003A2A7C"/>
    <w:rsid w:val="003A3307"/>
    <w:rsid w:val="003A3AB0"/>
    <w:rsid w:val="003A4077"/>
    <w:rsid w:val="003A4ADA"/>
    <w:rsid w:val="003A538F"/>
    <w:rsid w:val="003A67EF"/>
    <w:rsid w:val="003A76E7"/>
    <w:rsid w:val="003B0629"/>
    <w:rsid w:val="003B09AD"/>
    <w:rsid w:val="003B1F18"/>
    <w:rsid w:val="003B2F75"/>
    <w:rsid w:val="003B46E8"/>
    <w:rsid w:val="003B47CB"/>
    <w:rsid w:val="003B5BF0"/>
    <w:rsid w:val="003B60BF"/>
    <w:rsid w:val="003B6BE3"/>
    <w:rsid w:val="003B7374"/>
    <w:rsid w:val="003C010C"/>
    <w:rsid w:val="003C0915"/>
    <w:rsid w:val="003C0A6C"/>
    <w:rsid w:val="003C14F8"/>
    <w:rsid w:val="003C1945"/>
    <w:rsid w:val="003C383E"/>
    <w:rsid w:val="003C47CF"/>
    <w:rsid w:val="003C51E9"/>
    <w:rsid w:val="003C5A43"/>
    <w:rsid w:val="003C70A0"/>
    <w:rsid w:val="003D0519"/>
    <w:rsid w:val="003D0533"/>
    <w:rsid w:val="003D0FF6"/>
    <w:rsid w:val="003D24EE"/>
    <w:rsid w:val="003D262C"/>
    <w:rsid w:val="003D2F56"/>
    <w:rsid w:val="003D6D61"/>
    <w:rsid w:val="003D6E62"/>
    <w:rsid w:val="003D7570"/>
    <w:rsid w:val="003E091D"/>
    <w:rsid w:val="003E1C53"/>
    <w:rsid w:val="003E2A69"/>
    <w:rsid w:val="003E2D49"/>
    <w:rsid w:val="003E2FBA"/>
    <w:rsid w:val="003E2FD4"/>
    <w:rsid w:val="003E49F6"/>
    <w:rsid w:val="003E660F"/>
    <w:rsid w:val="003E6629"/>
    <w:rsid w:val="003F0841"/>
    <w:rsid w:val="003F23D3"/>
    <w:rsid w:val="003F2B45"/>
    <w:rsid w:val="003F3530"/>
    <w:rsid w:val="003F3F08"/>
    <w:rsid w:val="003F49F1"/>
    <w:rsid w:val="003F54A8"/>
    <w:rsid w:val="003F6272"/>
    <w:rsid w:val="003F6CA3"/>
    <w:rsid w:val="00400E72"/>
    <w:rsid w:val="00401400"/>
    <w:rsid w:val="0040201F"/>
    <w:rsid w:val="004043C3"/>
    <w:rsid w:val="00404869"/>
    <w:rsid w:val="00405884"/>
    <w:rsid w:val="00407D39"/>
    <w:rsid w:val="00411551"/>
    <w:rsid w:val="004132DE"/>
    <w:rsid w:val="0041477A"/>
    <w:rsid w:val="00414799"/>
    <w:rsid w:val="00415E05"/>
    <w:rsid w:val="004167A3"/>
    <w:rsid w:val="00417110"/>
    <w:rsid w:val="00420CC7"/>
    <w:rsid w:val="004221B5"/>
    <w:rsid w:val="00422C0D"/>
    <w:rsid w:val="0042661D"/>
    <w:rsid w:val="00427DFE"/>
    <w:rsid w:val="0043077B"/>
    <w:rsid w:val="00430B71"/>
    <w:rsid w:val="00432DAA"/>
    <w:rsid w:val="0043326D"/>
    <w:rsid w:val="004341D7"/>
    <w:rsid w:val="00434305"/>
    <w:rsid w:val="00435DF7"/>
    <w:rsid w:val="00436EA1"/>
    <w:rsid w:val="0044083F"/>
    <w:rsid w:val="00440BDA"/>
    <w:rsid w:val="00441357"/>
    <w:rsid w:val="00441AE7"/>
    <w:rsid w:val="0044381B"/>
    <w:rsid w:val="00445574"/>
    <w:rsid w:val="004467FB"/>
    <w:rsid w:val="0044708D"/>
    <w:rsid w:val="0044783D"/>
    <w:rsid w:val="00447F06"/>
    <w:rsid w:val="00452D6B"/>
    <w:rsid w:val="0045377B"/>
    <w:rsid w:val="00454484"/>
    <w:rsid w:val="0045517B"/>
    <w:rsid w:val="00456AEE"/>
    <w:rsid w:val="00457406"/>
    <w:rsid w:val="00461D61"/>
    <w:rsid w:val="00463B77"/>
    <w:rsid w:val="00463C7B"/>
    <w:rsid w:val="004644A6"/>
    <w:rsid w:val="004659BD"/>
    <w:rsid w:val="00466336"/>
    <w:rsid w:val="0046678F"/>
    <w:rsid w:val="00467476"/>
    <w:rsid w:val="00470775"/>
    <w:rsid w:val="00470A02"/>
    <w:rsid w:val="00470F66"/>
    <w:rsid w:val="004746B1"/>
    <w:rsid w:val="0047583F"/>
    <w:rsid w:val="004759A4"/>
    <w:rsid w:val="00475DE8"/>
    <w:rsid w:val="00477E82"/>
    <w:rsid w:val="00480E49"/>
    <w:rsid w:val="004810C0"/>
    <w:rsid w:val="00481C44"/>
    <w:rsid w:val="004821E6"/>
    <w:rsid w:val="0048399B"/>
    <w:rsid w:val="00484936"/>
    <w:rsid w:val="00485AE3"/>
    <w:rsid w:val="00485C89"/>
    <w:rsid w:val="00486BE3"/>
    <w:rsid w:val="004905E4"/>
    <w:rsid w:val="00490A89"/>
    <w:rsid w:val="00490AB4"/>
    <w:rsid w:val="00492717"/>
    <w:rsid w:val="00492F02"/>
    <w:rsid w:val="00492F3F"/>
    <w:rsid w:val="004939AE"/>
    <w:rsid w:val="00493EB4"/>
    <w:rsid w:val="00494A76"/>
    <w:rsid w:val="004953EE"/>
    <w:rsid w:val="004967F9"/>
    <w:rsid w:val="004A12DF"/>
    <w:rsid w:val="004A17E6"/>
    <w:rsid w:val="004A1BA8"/>
    <w:rsid w:val="004A4B57"/>
    <w:rsid w:val="004A52C0"/>
    <w:rsid w:val="004A52EB"/>
    <w:rsid w:val="004A63FA"/>
    <w:rsid w:val="004B0272"/>
    <w:rsid w:val="004B0E1B"/>
    <w:rsid w:val="004B2701"/>
    <w:rsid w:val="004B2E1B"/>
    <w:rsid w:val="004B3AA8"/>
    <w:rsid w:val="004B3E93"/>
    <w:rsid w:val="004B5CF1"/>
    <w:rsid w:val="004B7D88"/>
    <w:rsid w:val="004C02E6"/>
    <w:rsid w:val="004C1FBC"/>
    <w:rsid w:val="004C308D"/>
    <w:rsid w:val="004C3F1D"/>
    <w:rsid w:val="004C458D"/>
    <w:rsid w:val="004C7556"/>
    <w:rsid w:val="004C7E8B"/>
    <w:rsid w:val="004C7E9D"/>
    <w:rsid w:val="004C7F67"/>
    <w:rsid w:val="004D076D"/>
    <w:rsid w:val="004D0EF1"/>
    <w:rsid w:val="004D12DC"/>
    <w:rsid w:val="004D2253"/>
    <w:rsid w:val="004D4406"/>
    <w:rsid w:val="004D4470"/>
    <w:rsid w:val="004D7C42"/>
    <w:rsid w:val="004E0465"/>
    <w:rsid w:val="004E127B"/>
    <w:rsid w:val="004E1C0A"/>
    <w:rsid w:val="004E2B06"/>
    <w:rsid w:val="004E30C5"/>
    <w:rsid w:val="004E4AA5"/>
    <w:rsid w:val="004E4AEE"/>
    <w:rsid w:val="004E4FD1"/>
    <w:rsid w:val="004E59E3"/>
    <w:rsid w:val="004E67C0"/>
    <w:rsid w:val="004F391A"/>
    <w:rsid w:val="004F3CFB"/>
    <w:rsid w:val="004F6456"/>
    <w:rsid w:val="004F696E"/>
    <w:rsid w:val="004F6C71"/>
    <w:rsid w:val="00501139"/>
    <w:rsid w:val="0050275A"/>
    <w:rsid w:val="0050363E"/>
    <w:rsid w:val="005039BC"/>
    <w:rsid w:val="005043BB"/>
    <w:rsid w:val="00504A3D"/>
    <w:rsid w:val="00505767"/>
    <w:rsid w:val="005073F0"/>
    <w:rsid w:val="00507534"/>
    <w:rsid w:val="005109C7"/>
    <w:rsid w:val="00510A7B"/>
    <w:rsid w:val="00512F6E"/>
    <w:rsid w:val="00513038"/>
    <w:rsid w:val="00513621"/>
    <w:rsid w:val="00514174"/>
    <w:rsid w:val="00516088"/>
    <w:rsid w:val="00516B0B"/>
    <w:rsid w:val="005220EC"/>
    <w:rsid w:val="00523F95"/>
    <w:rsid w:val="00524D65"/>
    <w:rsid w:val="005257CB"/>
    <w:rsid w:val="00525B16"/>
    <w:rsid w:val="0053255F"/>
    <w:rsid w:val="00533D04"/>
    <w:rsid w:val="00534804"/>
    <w:rsid w:val="00534BDF"/>
    <w:rsid w:val="00534DBA"/>
    <w:rsid w:val="005354EA"/>
    <w:rsid w:val="0053585F"/>
    <w:rsid w:val="00535EC4"/>
    <w:rsid w:val="00535ED9"/>
    <w:rsid w:val="0053692B"/>
    <w:rsid w:val="00536DCB"/>
    <w:rsid w:val="00537B52"/>
    <w:rsid w:val="005409AE"/>
    <w:rsid w:val="00541853"/>
    <w:rsid w:val="00542888"/>
    <w:rsid w:val="00543BDA"/>
    <w:rsid w:val="005441CC"/>
    <w:rsid w:val="005443D8"/>
    <w:rsid w:val="005463C5"/>
    <w:rsid w:val="005479DA"/>
    <w:rsid w:val="00547BCC"/>
    <w:rsid w:val="0055013B"/>
    <w:rsid w:val="00550A90"/>
    <w:rsid w:val="00550B85"/>
    <w:rsid w:val="00551F6F"/>
    <w:rsid w:val="005549D5"/>
    <w:rsid w:val="00555044"/>
    <w:rsid w:val="00557499"/>
    <w:rsid w:val="00561475"/>
    <w:rsid w:val="00561C78"/>
    <w:rsid w:val="005622B9"/>
    <w:rsid w:val="0056399B"/>
    <w:rsid w:val="0056487B"/>
    <w:rsid w:val="00564FB9"/>
    <w:rsid w:val="00571923"/>
    <w:rsid w:val="00571EE5"/>
    <w:rsid w:val="005723B4"/>
    <w:rsid w:val="00573D9E"/>
    <w:rsid w:val="005801E3"/>
    <w:rsid w:val="0058037C"/>
    <w:rsid w:val="00580B3B"/>
    <w:rsid w:val="00581802"/>
    <w:rsid w:val="00581E49"/>
    <w:rsid w:val="005836A8"/>
    <w:rsid w:val="0058409C"/>
    <w:rsid w:val="00584262"/>
    <w:rsid w:val="00584270"/>
    <w:rsid w:val="00585587"/>
    <w:rsid w:val="00586630"/>
    <w:rsid w:val="00587ADD"/>
    <w:rsid w:val="00590DB1"/>
    <w:rsid w:val="00591E27"/>
    <w:rsid w:val="00596160"/>
    <w:rsid w:val="005966E2"/>
    <w:rsid w:val="00597007"/>
    <w:rsid w:val="005976FE"/>
    <w:rsid w:val="005A07C5"/>
    <w:rsid w:val="005A0966"/>
    <w:rsid w:val="005A0CD1"/>
    <w:rsid w:val="005A11B7"/>
    <w:rsid w:val="005A260B"/>
    <w:rsid w:val="005A4A1B"/>
    <w:rsid w:val="005A7830"/>
    <w:rsid w:val="005A7B9A"/>
    <w:rsid w:val="005A7FCE"/>
    <w:rsid w:val="005B0F3F"/>
    <w:rsid w:val="005B180C"/>
    <w:rsid w:val="005B27F9"/>
    <w:rsid w:val="005B3492"/>
    <w:rsid w:val="005B4903"/>
    <w:rsid w:val="005B51CE"/>
    <w:rsid w:val="005B5885"/>
    <w:rsid w:val="005B5C5A"/>
    <w:rsid w:val="005B5CD7"/>
    <w:rsid w:val="005B62E8"/>
    <w:rsid w:val="005B6CF6"/>
    <w:rsid w:val="005B7422"/>
    <w:rsid w:val="005C05D6"/>
    <w:rsid w:val="005C17D8"/>
    <w:rsid w:val="005C29B8"/>
    <w:rsid w:val="005C5F21"/>
    <w:rsid w:val="005C69EB"/>
    <w:rsid w:val="005C7156"/>
    <w:rsid w:val="005D0C75"/>
    <w:rsid w:val="005D2B27"/>
    <w:rsid w:val="005D4171"/>
    <w:rsid w:val="005D6A95"/>
    <w:rsid w:val="005D6B2C"/>
    <w:rsid w:val="005D6D9C"/>
    <w:rsid w:val="005D76FF"/>
    <w:rsid w:val="005E2335"/>
    <w:rsid w:val="005E2777"/>
    <w:rsid w:val="005E34CA"/>
    <w:rsid w:val="005E3C18"/>
    <w:rsid w:val="005E48A7"/>
    <w:rsid w:val="005E62D0"/>
    <w:rsid w:val="005E6501"/>
    <w:rsid w:val="005E6812"/>
    <w:rsid w:val="005E7881"/>
    <w:rsid w:val="005E78E0"/>
    <w:rsid w:val="005F0D9C"/>
    <w:rsid w:val="005F1E4E"/>
    <w:rsid w:val="005F284E"/>
    <w:rsid w:val="005F4712"/>
    <w:rsid w:val="005F769E"/>
    <w:rsid w:val="005F7BF2"/>
    <w:rsid w:val="006006E4"/>
    <w:rsid w:val="006015CE"/>
    <w:rsid w:val="00601B67"/>
    <w:rsid w:val="006025B4"/>
    <w:rsid w:val="00604784"/>
    <w:rsid w:val="00604CBD"/>
    <w:rsid w:val="00605B59"/>
    <w:rsid w:val="00606419"/>
    <w:rsid w:val="00606F33"/>
    <w:rsid w:val="00607D29"/>
    <w:rsid w:val="00612112"/>
    <w:rsid w:val="00612952"/>
    <w:rsid w:val="00614CC1"/>
    <w:rsid w:val="00615A9D"/>
    <w:rsid w:val="006168DA"/>
    <w:rsid w:val="00617387"/>
    <w:rsid w:val="006205D6"/>
    <w:rsid w:val="006252D8"/>
    <w:rsid w:val="006259BC"/>
    <w:rsid w:val="00625E52"/>
    <w:rsid w:val="0062636B"/>
    <w:rsid w:val="00626C46"/>
    <w:rsid w:val="00627847"/>
    <w:rsid w:val="00627EC4"/>
    <w:rsid w:val="00632182"/>
    <w:rsid w:val="00632AE0"/>
    <w:rsid w:val="00633385"/>
    <w:rsid w:val="00633C17"/>
    <w:rsid w:val="00634D9E"/>
    <w:rsid w:val="00636E3E"/>
    <w:rsid w:val="006379F7"/>
    <w:rsid w:val="00637E4D"/>
    <w:rsid w:val="00640620"/>
    <w:rsid w:val="00641A1F"/>
    <w:rsid w:val="006422C7"/>
    <w:rsid w:val="006431A2"/>
    <w:rsid w:val="006449FE"/>
    <w:rsid w:val="00645904"/>
    <w:rsid w:val="00647FAC"/>
    <w:rsid w:val="00650E69"/>
    <w:rsid w:val="00651ACB"/>
    <w:rsid w:val="00651C47"/>
    <w:rsid w:val="0065233B"/>
    <w:rsid w:val="00652AB2"/>
    <w:rsid w:val="00653FED"/>
    <w:rsid w:val="00654EC0"/>
    <w:rsid w:val="0065525B"/>
    <w:rsid w:val="00655D4F"/>
    <w:rsid w:val="00656D29"/>
    <w:rsid w:val="006640E5"/>
    <w:rsid w:val="006646F1"/>
    <w:rsid w:val="00664929"/>
    <w:rsid w:val="00664F62"/>
    <w:rsid w:val="006655E1"/>
    <w:rsid w:val="00666102"/>
    <w:rsid w:val="006675AE"/>
    <w:rsid w:val="00671894"/>
    <w:rsid w:val="00672060"/>
    <w:rsid w:val="00672BFD"/>
    <w:rsid w:val="006770F4"/>
    <w:rsid w:val="00677A84"/>
    <w:rsid w:val="00677FF2"/>
    <w:rsid w:val="00680254"/>
    <w:rsid w:val="0068026D"/>
    <w:rsid w:val="006809FC"/>
    <w:rsid w:val="00680A27"/>
    <w:rsid w:val="0068116B"/>
    <w:rsid w:val="006816A4"/>
    <w:rsid w:val="006819B8"/>
    <w:rsid w:val="00681F53"/>
    <w:rsid w:val="00683081"/>
    <w:rsid w:val="006840A6"/>
    <w:rsid w:val="006850CD"/>
    <w:rsid w:val="00685AAB"/>
    <w:rsid w:val="00692013"/>
    <w:rsid w:val="006943C0"/>
    <w:rsid w:val="006947BD"/>
    <w:rsid w:val="00695D22"/>
    <w:rsid w:val="006A07AA"/>
    <w:rsid w:val="006A25E5"/>
    <w:rsid w:val="006A2B46"/>
    <w:rsid w:val="006A336D"/>
    <w:rsid w:val="006A37B9"/>
    <w:rsid w:val="006A4CA9"/>
    <w:rsid w:val="006A57E1"/>
    <w:rsid w:val="006B2672"/>
    <w:rsid w:val="006B2872"/>
    <w:rsid w:val="006B2DCA"/>
    <w:rsid w:val="006B463A"/>
    <w:rsid w:val="006B54BF"/>
    <w:rsid w:val="006B5B93"/>
    <w:rsid w:val="006B5F44"/>
    <w:rsid w:val="006B5F90"/>
    <w:rsid w:val="006B61CE"/>
    <w:rsid w:val="006B62E4"/>
    <w:rsid w:val="006B70FE"/>
    <w:rsid w:val="006B7E71"/>
    <w:rsid w:val="006C1BBA"/>
    <w:rsid w:val="006C2079"/>
    <w:rsid w:val="006C2D0E"/>
    <w:rsid w:val="006C5A62"/>
    <w:rsid w:val="006C5D68"/>
    <w:rsid w:val="006C6976"/>
    <w:rsid w:val="006C6DD0"/>
    <w:rsid w:val="006C7658"/>
    <w:rsid w:val="006D00EE"/>
    <w:rsid w:val="006D0170"/>
    <w:rsid w:val="006D0298"/>
    <w:rsid w:val="006D0350"/>
    <w:rsid w:val="006D04EA"/>
    <w:rsid w:val="006D06B3"/>
    <w:rsid w:val="006D16C4"/>
    <w:rsid w:val="006D219A"/>
    <w:rsid w:val="006D3E96"/>
    <w:rsid w:val="006D4515"/>
    <w:rsid w:val="006D4BB1"/>
    <w:rsid w:val="006D588B"/>
    <w:rsid w:val="006D6593"/>
    <w:rsid w:val="006E23EA"/>
    <w:rsid w:val="006E2564"/>
    <w:rsid w:val="006E3BE3"/>
    <w:rsid w:val="006E4009"/>
    <w:rsid w:val="006E4909"/>
    <w:rsid w:val="006E55B8"/>
    <w:rsid w:val="006E7A49"/>
    <w:rsid w:val="006F03A8"/>
    <w:rsid w:val="006F2ACA"/>
    <w:rsid w:val="006F2ADC"/>
    <w:rsid w:val="006F2BFE"/>
    <w:rsid w:val="006F2CD0"/>
    <w:rsid w:val="006F31E9"/>
    <w:rsid w:val="006F4EF3"/>
    <w:rsid w:val="006F6284"/>
    <w:rsid w:val="007002C5"/>
    <w:rsid w:val="00704387"/>
    <w:rsid w:val="00707669"/>
    <w:rsid w:val="0071039E"/>
    <w:rsid w:val="00711CBA"/>
    <w:rsid w:val="00711FB5"/>
    <w:rsid w:val="00712A01"/>
    <w:rsid w:val="00714F58"/>
    <w:rsid w:val="00716350"/>
    <w:rsid w:val="00717D5E"/>
    <w:rsid w:val="00722F23"/>
    <w:rsid w:val="00722FBF"/>
    <w:rsid w:val="00722FC2"/>
    <w:rsid w:val="00724879"/>
    <w:rsid w:val="00724E1B"/>
    <w:rsid w:val="00725949"/>
    <w:rsid w:val="00727FA2"/>
    <w:rsid w:val="00731A14"/>
    <w:rsid w:val="007322D9"/>
    <w:rsid w:val="00732BC0"/>
    <w:rsid w:val="00732EC4"/>
    <w:rsid w:val="00735D78"/>
    <w:rsid w:val="0073720F"/>
    <w:rsid w:val="00737796"/>
    <w:rsid w:val="007377CD"/>
    <w:rsid w:val="0074165C"/>
    <w:rsid w:val="00741BD0"/>
    <w:rsid w:val="00742C35"/>
    <w:rsid w:val="007432CA"/>
    <w:rsid w:val="007439EB"/>
    <w:rsid w:val="00743CB4"/>
    <w:rsid w:val="00743F0A"/>
    <w:rsid w:val="007444E8"/>
    <w:rsid w:val="00744C61"/>
    <w:rsid w:val="0074548E"/>
    <w:rsid w:val="00745773"/>
    <w:rsid w:val="00745B31"/>
    <w:rsid w:val="00746800"/>
    <w:rsid w:val="00747704"/>
    <w:rsid w:val="007501A8"/>
    <w:rsid w:val="00750C12"/>
    <w:rsid w:val="00750D61"/>
    <w:rsid w:val="00750EE1"/>
    <w:rsid w:val="00750FCC"/>
    <w:rsid w:val="00752B4D"/>
    <w:rsid w:val="00754391"/>
    <w:rsid w:val="00755402"/>
    <w:rsid w:val="00756B26"/>
    <w:rsid w:val="00756EDF"/>
    <w:rsid w:val="007600E3"/>
    <w:rsid w:val="00761C33"/>
    <w:rsid w:val="0076282D"/>
    <w:rsid w:val="00762CA6"/>
    <w:rsid w:val="007644FC"/>
    <w:rsid w:val="00764B09"/>
    <w:rsid w:val="00765C43"/>
    <w:rsid w:val="00765D50"/>
    <w:rsid w:val="00765EFB"/>
    <w:rsid w:val="007671CA"/>
    <w:rsid w:val="00767C61"/>
    <w:rsid w:val="0077008A"/>
    <w:rsid w:val="00770B55"/>
    <w:rsid w:val="00772E90"/>
    <w:rsid w:val="00773C1F"/>
    <w:rsid w:val="00774902"/>
    <w:rsid w:val="00774DA4"/>
    <w:rsid w:val="00776599"/>
    <w:rsid w:val="0077764F"/>
    <w:rsid w:val="00777A91"/>
    <w:rsid w:val="0078114B"/>
    <w:rsid w:val="00781DD2"/>
    <w:rsid w:val="00781F5D"/>
    <w:rsid w:val="00783ECF"/>
    <w:rsid w:val="0078413A"/>
    <w:rsid w:val="007959E8"/>
    <w:rsid w:val="00795E9C"/>
    <w:rsid w:val="007A0521"/>
    <w:rsid w:val="007A0FD3"/>
    <w:rsid w:val="007A10A0"/>
    <w:rsid w:val="007A2E12"/>
    <w:rsid w:val="007A3475"/>
    <w:rsid w:val="007A41C8"/>
    <w:rsid w:val="007A54CE"/>
    <w:rsid w:val="007A6649"/>
    <w:rsid w:val="007A6FD9"/>
    <w:rsid w:val="007A7FFA"/>
    <w:rsid w:val="007B04EB"/>
    <w:rsid w:val="007B0D4F"/>
    <w:rsid w:val="007B17E5"/>
    <w:rsid w:val="007B3682"/>
    <w:rsid w:val="007B57B2"/>
    <w:rsid w:val="007B5A3D"/>
    <w:rsid w:val="007B5B95"/>
    <w:rsid w:val="007B68EA"/>
    <w:rsid w:val="007B70E4"/>
    <w:rsid w:val="007B7453"/>
    <w:rsid w:val="007C1E8B"/>
    <w:rsid w:val="007C2D89"/>
    <w:rsid w:val="007C316F"/>
    <w:rsid w:val="007C4593"/>
    <w:rsid w:val="007C5309"/>
    <w:rsid w:val="007C5E46"/>
    <w:rsid w:val="007C5E4C"/>
    <w:rsid w:val="007C5F7C"/>
    <w:rsid w:val="007C5FD5"/>
    <w:rsid w:val="007C6069"/>
    <w:rsid w:val="007C7004"/>
    <w:rsid w:val="007D03AD"/>
    <w:rsid w:val="007D06C4"/>
    <w:rsid w:val="007D09A8"/>
    <w:rsid w:val="007D1352"/>
    <w:rsid w:val="007D1F42"/>
    <w:rsid w:val="007D2085"/>
    <w:rsid w:val="007D2508"/>
    <w:rsid w:val="007D2A8B"/>
    <w:rsid w:val="007D346A"/>
    <w:rsid w:val="007D4324"/>
    <w:rsid w:val="007D4758"/>
    <w:rsid w:val="007D6518"/>
    <w:rsid w:val="007D76BD"/>
    <w:rsid w:val="007E01B9"/>
    <w:rsid w:val="007E0BF1"/>
    <w:rsid w:val="007E3318"/>
    <w:rsid w:val="007E3ADD"/>
    <w:rsid w:val="007E505C"/>
    <w:rsid w:val="007F0ED8"/>
    <w:rsid w:val="007F0F63"/>
    <w:rsid w:val="007F1BA6"/>
    <w:rsid w:val="007F4F96"/>
    <w:rsid w:val="007F75CE"/>
    <w:rsid w:val="008013A4"/>
    <w:rsid w:val="008014CD"/>
    <w:rsid w:val="008027CE"/>
    <w:rsid w:val="00802F42"/>
    <w:rsid w:val="00804383"/>
    <w:rsid w:val="00804BB7"/>
    <w:rsid w:val="00804D41"/>
    <w:rsid w:val="00810257"/>
    <w:rsid w:val="008104F5"/>
    <w:rsid w:val="0081087D"/>
    <w:rsid w:val="00811072"/>
    <w:rsid w:val="00811369"/>
    <w:rsid w:val="00815419"/>
    <w:rsid w:val="008159ED"/>
    <w:rsid w:val="008163C8"/>
    <w:rsid w:val="008164A1"/>
    <w:rsid w:val="008169DB"/>
    <w:rsid w:val="00816C88"/>
    <w:rsid w:val="00817325"/>
    <w:rsid w:val="008209E6"/>
    <w:rsid w:val="00823303"/>
    <w:rsid w:val="008233B2"/>
    <w:rsid w:val="00823A9F"/>
    <w:rsid w:val="00823C85"/>
    <w:rsid w:val="00823F1F"/>
    <w:rsid w:val="00825138"/>
    <w:rsid w:val="008269DD"/>
    <w:rsid w:val="00830513"/>
    <w:rsid w:val="00830621"/>
    <w:rsid w:val="00831BEE"/>
    <w:rsid w:val="0083348C"/>
    <w:rsid w:val="008334EF"/>
    <w:rsid w:val="00835004"/>
    <w:rsid w:val="00836005"/>
    <w:rsid w:val="008373D3"/>
    <w:rsid w:val="00837FB6"/>
    <w:rsid w:val="00840582"/>
    <w:rsid w:val="00840617"/>
    <w:rsid w:val="00840F84"/>
    <w:rsid w:val="00841844"/>
    <w:rsid w:val="00842A47"/>
    <w:rsid w:val="00843C13"/>
    <w:rsid w:val="00844106"/>
    <w:rsid w:val="008444C0"/>
    <w:rsid w:val="008454F8"/>
    <w:rsid w:val="00845A98"/>
    <w:rsid w:val="00847094"/>
    <w:rsid w:val="0085173A"/>
    <w:rsid w:val="008531C1"/>
    <w:rsid w:val="00856316"/>
    <w:rsid w:val="00856BF1"/>
    <w:rsid w:val="00856DB6"/>
    <w:rsid w:val="008603CE"/>
    <w:rsid w:val="008620FC"/>
    <w:rsid w:val="008627A5"/>
    <w:rsid w:val="00863E05"/>
    <w:rsid w:val="00865ACA"/>
    <w:rsid w:val="00865D28"/>
    <w:rsid w:val="00865E5D"/>
    <w:rsid w:val="00865F85"/>
    <w:rsid w:val="00866157"/>
    <w:rsid w:val="00867C10"/>
    <w:rsid w:val="00870439"/>
    <w:rsid w:val="00870DA1"/>
    <w:rsid w:val="00872213"/>
    <w:rsid w:val="00874EED"/>
    <w:rsid w:val="00877733"/>
    <w:rsid w:val="008800C2"/>
    <w:rsid w:val="00882BDF"/>
    <w:rsid w:val="0088344E"/>
    <w:rsid w:val="00883F93"/>
    <w:rsid w:val="00884DB3"/>
    <w:rsid w:val="00885A9D"/>
    <w:rsid w:val="008864F6"/>
    <w:rsid w:val="0089049D"/>
    <w:rsid w:val="008928C9"/>
    <w:rsid w:val="00892F01"/>
    <w:rsid w:val="008930CB"/>
    <w:rsid w:val="008938DC"/>
    <w:rsid w:val="00893BEA"/>
    <w:rsid w:val="00893FD1"/>
    <w:rsid w:val="00894836"/>
    <w:rsid w:val="00895172"/>
    <w:rsid w:val="00895680"/>
    <w:rsid w:val="00895FF9"/>
    <w:rsid w:val="00896DFF"/>
    <w:rsid w:val="008970D5"/>
    <w:rsid w:val="0089762C"/>
    <w:rsid w:val="008A1893"/>
    <w:rsid w:val="008A3215"/>
    <w:rsid w:val="008A57E6"/>
    <w:rsid w:val="008A6F81"/>
    <w:rsid w:val="008A769A"/>
    <w:rsid w:val="008A78E1"/>
    <w:rsid w:val="008B0C9C"/>
    <w:rsid w:val="008B166D"/>
    <w:rsid w:val="008B17F4"/>
    <w:rsid w:val="008B2E8D"/>
    <w:rsid w:val="008B3615"/>
    <w:rsid w:val="008B37A5"/>
    <w:rsid w:val="008B4AC4"/>
    <w:rsid w:val="008B50C8"/>
    <w:rsid w:val="008B5281"/>
    <w:rsid w:val="008B6968"/>
    <w:rsid w:val="008B7E05"/>
    <w:rsid w:val="008C0A23"/>
    <w:rsid w:val="008C1797"/>
    <w:rsid w:val="008C17CD"/>
    <w:rsid w:val="008C219C"/>
    <w:rsid w:val="008C475E"/>
    <w:rsid w:val="008C619A"/>
    <w:rsid w:val="008D0CE8"/>
    <w:rsid w:val="008D2026"/>
    <w:rsid w:val="008D2D1D"/>
    <w:rsid w:val="008D2E2E"/>
    <w:rsid w:val="008D2F56"/>
    <w:rsid w:val="008D313D"/>
    <w:rsid w:val="008D442A"/>
    <w:rsid w:val="008D453D"/>
    <w:rsid w:val="008D53AD"/>
    <w:rsid w:val="008D562B"/>
    <w:rsid w:val="008D5733"/>
    <w:rsid w:val="008D622B"/>
    <w:rsid w:val="008D666C"/>
    <w:rsid w:val="008D7B54"/>
    <w:rsid w:val="008E0345"/>
    <w:rsid w:val="008E0C9D"/>
    <w:rsid w:val="008E1648"/>
    <w:rsid w:val="008E1B3E"/>
    <w:rsid w:val="008E1D71"/>
    <w:rsid w:val="008E2319"/>
    <w:rsid w:val="008E3AD5"/>
    <w:rsid w:val="008E3BBA"/>
    <w:rsid w:val="008E4BB6"/>
    <w:rsid w:val="008E5518"/>
    <w:rsid w:val="008E63AC"/>
    <w:rsid w:val="008E6A84"/>
    <w:rsid w:val="008F0CDC"/>
    <w:rsid w:val="008F17A3"/>
    <w:rsid w:val="008F1ED3"/>
    <w:rsid w:val="008F23A5"/>
    <w:rsid w:val="008F4C29"/>
    <w:rsid w:val="008F5D2F"/>
    <w:rsid w:val="008F70BD"/>
    <w:rsid w:val="008F788F"/>
    <w:rsid w:val="008F7EA2"/>
    <w:rsid w:val="009003F5"/>
    <w:rsid w:val="00902722"/>
    <w:rsid w:val="009027BC"/>
    <w:rsid w:val="009036BF"/>
    <w:rsid w:val="009062E6"/>
    <w:rsid w:val="00910246"/>
    <w:rsid w:val="00911B95"/>
    <w:rsid w:val="00911BE5"/>
    <w:rsid w:val="00913846"/>
    <w:rsid w:val="00913CA9"/>
    <w:rsid w:val="00914528"/>
    <w:rsid w:val="009145AE"/>
    <w:rsid w:val="009146CE"/>
    <w:rsid w:val="0091493B"/>
    <w:rsid w:val="00914CA7"/>
    <w:rsid w:val="00915C3E"/>
    <w:rsid w:val="00915E68"/>
    <w:rsid w:val="009161A8"/>
    <w:rsid w:val="00916C11"/>
    <w:rsid w:val="0092073E"/>
    <w:rsid w:val="00922B4C"/>
    <w:rsid w:val="00922EE1"/>
    <w:rsid w:val="009245F5"/>
    <w:rsid w:val="00924941"/>
    <w:rsid w:val="009249EC"/>
    <w:rsid w:val="009258FD"/>
    <w:rsid w:val="009273B3"/>
    <w:rsid w:val="009305B5"/>
    <w:rsid w:val="00930E4D"/>
    <w:rsid w:val="00931B68"/>
    <w:rsid w:val="00931EFF"/>
    <w:rsid w:val="00931FB2"/>
    <w:rsid w:val="00932E7C"/>
    <w:rsid w:val="00933BBF"/>
    <w:rsid w:val="00933D4B"/>
    <w:rsid w:val="00934E00"/>
    <w:rsid w:val="00936A64"/>
    <w:rsid w:val="00941EE3"/>
    <w:rsid w:val="009429D5"/>
    <w:rsid w:val="00942BF1"/>
    <w:rsid w:val="009431AA"/>
    <w:rsid w:val="009438B0"/>
    <w:rsid w:val="00944BDB"/>
    <w:rsid w:val="00944D7E"/>
    <w:rsid w:val="00945180"/>
    <w:rsid w:val="00945428"/>
    <w:rsid w:val="0094592C"/>
    <w:rsid w:val="0094607B"/>
    <w:rsid w:val="009508E8"/>
    <w:rsid w:val="00953604"/>
    <w:rsid w:val="0095496B"/>
    <w:rsid w:val="00955445"/>
    <w:rsid w:val="00957C2F"/>
    <w:rsid w:val="0096085F"/>
    <w:rsid w:val="009610DC"/>
    <w:rsid w:val="00961490"/>
    <w:rsid w:val="009626B0"/>
    <w:rsid w:val="0096381A"/>
    <w:rsid w:val="00965E04"/>
    <w:rsid w:val="00967116"/>
    <w:rsid w:val="009674AD"/>
    <w:rsid w:val="00970AD6"/>
    <w:rsid w:val="00970CDC"/>
    <w:rsid w:val="00972866"/>
    <w:rsid w:val="00975167"/>
    <w:rsid w:val="00975C31"/>
    <w:rsid w:val="00977010"/>
    <w:rsid w:val="00977D02"/>
    <w:rsid w:val="0098015F"/>
    <w:rsid w:val="009809BB"/>
    <w:rsid w:val="0098252A"/>
    <w:rsid w:val="0098364B"/>
    <w:rsid w:val="009843C4"/>
    <w:rsid w:val="009911AF"/>
    <w:rsid w:val="00991875"/>
    <w:rsid w:val="00991AEC"/>
    <w:rsid w:val="00991F92"/>
    <w:rsid w:val="00992985"/>
    <w:rsid w:val="00993889"/>
    <w:rsid w:val="0099551B"/>
    <w:rsid w:val="00997BF1"/>
    <w:rsid w:val="00997C5D"/>
    <w:rsid w:val="00997E04"/>
    <w:rsid w:val="009A089C"/>
    <w:rsid w:val="009A1049"/>
    <w:rsid w:val="009A1183"/>
    <w:rsid w:val="009A118E"/>
    <w:rsid w:val="009A14C5"/>
    <w:rsid w:val="009A21CD"/>
    <w:rsid w:val="009A278C"/>
    <w:rsid w:val="009A2BC2"/>
    <w:rsid w:val="009A32BC"/>
    <w:rsid w:val="009A42C1"/>
    <w:rsid w:val="009A5429"/>
    <w:rsid w:val="009A5F22"/>
    <w:rsid w:val="009A697A"/>
    <w:rsid w:val="009A72AD"/>
    <w:rsid w:val="009A7C89"/>
    <w:rsid w:val="009B09E0"/>
    <w:rsid w:val="009B0BC5"/>
    <w:rsid w:val="009B1247"/>
    <w:rsid w:val="009B22CD"/>
    <w:rsid w:val="009B286B"/>
    <w:rsid w:val="009B42DD"/>
    <w:rsid w:val="009B5C6D"/>
    <w:rsid w:val="009B6029"/>
    <w:rsid w:val="009B65ED"/>
    <w:rsid w:val="009B6971"/>
    <w:rsid w:val="009B75CD"/>
    <w:rsid w:val="009B79A9"/>
    <w:rsid w:val="009C0DAF"/>
    <w:rsid w:val="009C229D"/>
    <w:rsid w:val="009C26E2"/>
    <w:rsid w:val="009C27F1"/>
    <w:rsid w:val="009C2E1B"/>
    <w:rsid w:val="009C3152"/>
    <w:rsid w:val="009C3E73"/>
    <w:rsid w:val="009C4CFA"/>
    <w:rsid w:val="009C5070"/>
    <w:rsid w:val="009C58D4"/>
    <w:rsid w:val="009C5C59"/>
    <w:rsid w:val="009D112C"/>
    <w:rsid w:val="009D1DA4"/>
    <w:rsid w:val="009D47FA"/>
    <w:rsid w:val="009D4B30"/>
    <w:rsid w:val="009D4C5B"/>
    <w:rsid w:val="009D50D2"/>
    <w:rsid w:val="009D6BCA"/>
    <w:rsid w:val="009E0E4D"/>
    <w:rsid w:val="009E0F62"/>
    <w:rsid w:val="009E4A58"/>
    <w:rsid w:val="009E5A2D"/>
    <w:rsid w:val="009E5AB2"/>
    <w:rsid w:val="009E6219"/>
    <w:rsid w:val="009E793B"/>
    <w:rsid w:val="009F03B3"/>
    <w:rsid w:val="009F241D"/>
    <w:rsid w:val="009F5D60"/>
    <w:rsid w:val="00A0096C"/>
    <w:rsid w:val="00A00C07"/>
    <w:rsid w:val="00A01757"/>
    <w:rsid w:val="00A028C0"/>
    <w:rsid w:val="00A02BAE"/>
    <w:rsid w:val="00A03C44"/>
    <w:rsid w:val="00A0619B"/>
    <w:rsid w:val="00A06276"/>
    <w:rsid w:val="00A06A6B"/>
    <w:rsid w:val="00A07E47"/>
    <w:rsid w:val="00A10366"/>
    <w:rsid w:val="00A111C3"/>
    <w:rsid w:val="00A129D0"/>
    <w:rsid w:val="00A12C33"/>
    <w:rsid w:val="00A138BA"/>
    <w:rsid w:val="00A14C8E"/>
    <w:rsid w:val="00A153D9"/>
    <w:rsid w:val="00A156A5"/>
    <w:rsid w:val="00A15A08"/>
    <w:rsid w:val="00A15F09"/>
    <w:rsid w:val="00A169B6"/>
    <w:rsid w:val="00A2271D"/>
    <w:rsid w:val="00A237D5"/>
    <w:rsid w:val="00A30014"/>
    <w:rsid w:val="00A30EFC"/>
    <w:rsid w:val="00A31984"/>
    <w:rsid w:val="00A32845"/>
    <w:rsid w:val="00A32A79"/>
    <w:rsid w:val="00A32D73"/>
    <w:rsid w:val="00A3367B"/>
    <w:rsid w:val="00A34396"/>
    <w:rsid w:val="00A34E95"/>
    <w:rsid w:val="00A34EDB"/>
    <w:rsid w:val="00A3597D"/>
    <w:rsid w:val="00A36DD1"/>
    <w:rsid w:val="00A4006C"/>
    <w:rsid w:val="00A40091"/>
    <w:rsid w:val="00A4030F"/>
    <w:rsid w:val="00A41C79"/>
    <w:rsid w:val="00A41CB5"/>
    <w:rsid w:val="00A42CDF"/>
    <w:rsid w:val="00A43951"/>
    <w:rsid w:val="00A4452E"/>
    <w:rsid w:val="00A4472C"/>
    <w:rsid w:val="00A44E69"/>
    <w:rsid w:val="00A4661E"/>
    <w:rsid w:val="00A50311"/>
    <w:rsid w:val="00A523B3"/>
    <w:rsid w:val="00A53680"/>
    <w:rsid w:val="00A545D1"/>
    <w:rsid w:val="00A55BD6"/>
    <w:rsid w:val="00A55D50"/>
    <w:rsid w:val="00A57142"/>
    <w:rsid w:val="00A60089"/>
    <w:rsid w:val="00A648CD"/>
    <w:rsid w:val="00A6537A"/>
    <w:rsid w:val="00A673D1"/>
    <w:rsid w:val="00A67801"/>
    <w:rsid w:val="00A67866"/>
    <w:rsid w:val="00A67901"/>
    <w:rsid w:val="00A67C1B"/>
    <w:rsid w:val="00A70B07"/>
    <w:rsid w:val="00A71D11"/>
    <w:rsid w:val="00A723F8"/>
    <w:rsid w:val="00A734C4"/>
    <w:rsid w:val="00A73C9E"/>
    <w:rsid w:val="00A74EC8"/>
    <w:rsid w:val="00A77CCB"/>
    <w:rsid w:val="00A83161"/>
    <w:rsid w:val="00A8356F"/>
    <w:rsid w:val="00A83D8D"/>
    <w:rsid w:val="00A8446B"/>
    <w:rsid w:val="00A8473F"/>
    <w:rsid w:val="00A85D19"/>
    <w:rsid w:val="00A862D6"/>
    <w:rsid w:val="00A8715E"/>
    <w:rsid w:val="00A922D6"/>
    <w:rsid w:val="00A9295B"/>
    <w:rsid w:val="00A93B09"/>
    <w:rsid w:val="00A94247"/>
    <w:rsid w:val="00A952D7"/>
    <w:rsid w:val="00A95439"/>
    <w:rsid w:val="00A963F7"/>
    <w:rsid w:val="00A96AD8"/>
    <w:rsid w:val="00AA052C"/>
    <w:rsid w:val="00AA15F4"/>
    <w:rsid w:val="00AA1E45"/>
    <w:rsid w:val="00AA4286"/>
    <w:rsid w:val="00AA456B"/>
    <w:rsid w:val="00AA47E3"/>
    <w:rsid w:val="00AA57F5"/>
    <w:rsid w:val="00AA672E"/>
    <w:rsid w:val="00AA6EC9"/>
    <w:rsid w:val="00AA7B23"/>
    <w:rsid w:val="00AB11CA"/>
    <w:rsid w:val="00AB219E"/>
    <w:rsid w:val="00AB3211"/>
    <w:rsid w:val="00AB41D5"/>
    <w:rsid w:val="00AB5078"/>
    <w:rsid w:val="00AB6309"/>
    <w:rsid w:val="00AB6C5F"/>
    <w:rsid w:val="00AB7129"/>
    <w:rsid w:val="00AC0E8F"/>
    <w:rsid w:val="00AC27A6"/>
    <w:rsid w:val="00AC30F7"/>
    <w:rsid w:val="00AC3A5A"/>
    <w:rsid w:val="00AC4D95"/>
    <w:rsid w:val="00AC53E4"/>
    <w:rsid w:val="00AC5DF4"/>
    <w:rsid w:val="00AD0678"/>
    <w:rsid w:val="00AD0AEF"/>
    <w:rsid w:val="00AD11B7"/>
    <w:rsid w:val="00AD170A"/>
    <w:rsid w:val="00AD1A94"/>
    <w:rsid w:val="00AD1C05"/>
    <w:rsid w:val="00AD268D"/>
    <w:rsid w:val="00AD4126"/>
    <w:rsid w:val="00AD421C"/>
    <w:rsid w:val="00AD44FA"/>
    <w:rsid w:val="00AE070A"/>
    <w:rsid w:val="00AE0DA0"/>
    <w:rsid w:val="00AE101C"/>
    <w:rsid w:val="00AE27E8"/>
    <w:rsid w:val="00AE2F3C"/>
    <w:rsid w:val="00AE3097"/>
    <w:rsid w:val="00AE37E5"/>
    <w:rsid w:val="00AE523F"/>
    <w:rsid w:val="00AE566E"/>
    <w:rsid w:val="00AE5EB4"/>
    <w:rsid w:val="00AF0C18"/>
    <w:rsid w:val="00AF1302"/>
    <w:rsid w:val="00AF15A8"/>
    <w:rsid w:val="00AF238E"/>
    <w:rsid w:val="00AF29B6"/>
    <w:rsid w:val="00AF391D"/>
    <w:rsid w:val="00AF3ED2"/>
    <w:rsid w:val="00AF47C5"/>
    <w:rsid w:val="00AF5398"/>
    <w:rsid w:val="00AF67E4"/>
    <w:rsid w:val="00AF7A51"/>
    <w:rsid w:val="00B0107D"/>
    <w:rsid w:val="00B02448"/>
    <w:rsid w:val="00B02952"/>
    <w:rsid w:val="00B03669"/>
    <w:rsid w:val="00B049AF"/>
    <w:rsid w:val="00B07242"/>
    <w:rsid w:val="00B10534"/>
    <w:rsid w:val="00B10BF0"/>
    <w:rsid w:val="00B113DB"/>
    <w:rsid w:val="00B11523"/>
    <w:rsid w:val="00B11D8A"/>
    <w:rsid w:val="00B123B0"/>
    <w:rsid w:val="00B12981"/>
    <w:rsid w:val="00B12C90"/>
    <w:rsid w:val="00B147DD"/>
    <w:rsid w:val="00B156FD"/>
    <w:rsid w:val="00B17714"/>
    <w:rsid w:val="00B20C9A"/>
    <w:rsid w:val="00B21F61"/>
    <w:rsid w:val="00B22849"/>
    <w:rsid w:val="00B23003"/>
    <w:rsid w:val="00B2312A"/>
    <w:rsid w:val="00B23B45"/>
    <w:rsid w:val="00B24956"/>
    <w:rsid w:val="00B261F1"/>
    <w:rsid w:val="00B265BC"/>
    <w:rsid w:val="00B26648"/>
    <w:rsid w:val="00B31B64"/>
    <w:rsid w:val="00B31FB1"/>
    <w:rsid w:val="00B33903"/>
    <w:rsid w:val="00B33952"/>
    <w:rsid w:val="00B33C5E"/>
    <w:rsid w:val="00B342F4"/>
    <w:rsid w:val="00B34369"/>
    <w:rsid w:val="00B34DC2"/>
    <w:rsid w:val="00B35BDE"/>
    <w:rsid w:val="00B378E5"/>
    <w:rsid w:val="00B41846"/>
    <w:rsid w:val="00B41BD3"/>
    <w:rsid w:val="00B4346D"/>
    <w:rsid w:val="00B440F4"/>
    <w:rsid w:val="00B447A5"/>
    <w:rsid w:val="00B45B78"/>
    <w:rsid w:val="00B46095"/>
    <w:rsid w:val="00B4654C"/>
    <w:rsid w:val="00B47293"/>
    <w:rsid w:val="00B50E50"/>
    <w:rsid w:val="00B50EA3"/>
    <w:rsid w:val="00B51CB2"/>
    <w:rsid w:val="00B52120"/>
    <w:rsid w:val="00B536AC"/>
    <w:rsid w:val="00B54505"/>
    <w:rsid w:val="00B54ABC"/>
    <w:rsid w:val="00B54DDE"/>
    <w:rsid w:val="00B557A1"/>
    <w:rsid w:val="00B55826"/>
    <w:rsid w:val="00B564C9"/>
    <w:rsid w:val="00B56A0F"/>
    <w:rsid w:val="00B56ABB"/>
    <w:rsid w:val="00B56FBE"/>
    <w:rsid w:val="00B60ACF"/>
    <w:rsid w:val="00B60B42"/>
    <w:rsid w:val="00B621D4"/>
    <w:rsid w:val="00B62B58"/>
    <w:rsid w:val="00B64050"/>
    <w:rsid w:val="00B65149"/>
    <w:rsid w:val="00B66567"/>
    <w:rsid w:val="00B66F52"/>
    <w:rsid w:val="00B66FE5"/>
    <w:rsid w:val="00B70689"/>
    <w:rsid w:val="00B706ED"/>
    <w:rsid w:val="00B71AB5"/>
    <w:rsid w:val="00B72880"/>
    <w:rsid w:val="00B72E6A"/>
    <w:rsid w:val="00B73010"/>
    <w:rsid w:val="00B73F03"/>
    <w:rsid w:val="00B758BF"/>
    <w:rsid w:val="00B76061"/>
    <w:rsid w:val="00B761E7"/>
    <w:rsid w:val="00B77EC8"/>
    <w:rsid w:val="00B82792"/>
    <w:rsid w:val="00B827A6"/>
    <w:rsid w:val="00B831CE"/>
    <w:rsid w:val="00B86677"/>
    <w:rsid w:val="00B86E36"/>
    <w:rsid w:val="00B87131"/>
    <w:rsid w:val="00B921D6"/>
    <w:rsid w:val="00B939B1"/>
    <w:rsid w:val="00B94AE0"/>
    <w:rsid w:val="00B957B9"/>
    <w:rsid w:val="00B96D40"/>
    <w:rsid w:val="00B9733F"/>
    <w:rsid w:val="00B97386"/>
    <w:rsid w:val="00B97FD6"/>
    <w:rsid w:val="00BA263B"/>
    <w:rsid w:val="00BA2809"/>
    <w:rsid w:val="00BA42B2"/>
    <w:rsid w:val="00BA43AB"/>
    <w:rsid w:val="00BA58D4"/>
    <w:rsid w:val="00BA59C0"/>
    <w:rsid w:val="00BA5B9E"/>
    <w:rsid w:val="00BA7244"/>
    <w:rsid w:val="00BA7B56"/>
    <w:rsid w:val="00BA7C9A"/>
    <w:rsid w:val="00BB150C"/>
    <w:rsid w:val="00BB2060"/>
    <w:rsid w:val="00BB37E8"/>
    <w:rsid w:val="00BB4880"/>
    <w:rsid w:val="00BB5F8F"/>
    <w:rsid w:val="00BB657A"/>
    <w:rsid w:val="00BC09B4"/>
    <w:rsid w:val="00BC1A4E"/>
    <w:rsid w:val="00BC5430"/>
    <w:rsid w:val="00BC5DC7"/>
    <w:rsid w:val="00BC6B8B"/>
    <w:rsid w:val="00BC73D8"/>
    <w:rsid w:val="00BD1CD9"/>
    <w:rsid w:val="00BD2E7B"/>
    <w:rsid w:val="00BD3C24"/>
    <w:rsid w:val="00BD52D7"/>
    <w:rsid w:val="00BD5AD2"/>
    <w:rsid w:val="00BD703A"/>
    <w:rsid w:val="00BE1473"/>
    <w:rsid w:val="00BE1E87"/>
    <w:rsid w:val="00BE22F3"/>
    <w:rsid w:val="00BE2747"/>
    <w:rsid w:val="00BE27F2"/>
    <w:rsid w:val="00BE3238"/>
    <w:rsid w:val="00BE3316"/>
    <w:rsid w:val="00BE5B52"/>
    <w:rsid w:val="00BE7B8D"/>
    <w:rsid w:val="00BF0993"/>
    <w:rsid w:val="00BF10A9"/>
    <w:rsid w:val="00BF1703"/>
    <w:rsid w:val="00BF231C"/>
    <w:rsid w:val="00BF41B8"/>
    <w:rsid w:val="00BF51E5"/>
    <w:rsid w:val="00BF5B80"/>
    <w:rsid w:val="00BF74A6"/>
    <w:rsid w:val="00C00A37"/>
    <w:rsid w:val="00C013AD"/>
    <w:rsid w:val="00C0300C"/>
    <w:rsid w:val="00C03B49"/>
    <w:rsid w:val="00C04904"/>
    <w:rsid w:val="00C056B3"/>
    <w:rsid w:val="00C103E5"/>
    <w:rsid w:val="00C13319"/>
    <w:rsid w:val="00C13EE9"/>
    <w:rsid w:val="00C21540"/>
    <w:rsid w:val="00C21906"/>
    <w:rsid w:val="00C21BFA"/>
    <w:rsid w:val="00C22148"/>
    <w:rsid w:val="00C24C8D"/>
    <w:rsid w:val="00C25FE2"/>
    <w:rsid w:val="00C26560"/>
    <w:rsid w:val="00C26B53"/>
    <w:rsid w:val="00C279B2"/>
    <w:rsid w:val="00C27CA3"/>
    <w:rsid w:val="00C31139"/>
    <w:rsid w:val="00C331B8"/>
    <w:rsid w:val="00C33E50"/>
    <w:rsid w:val="00C33E7C"/>
    <w:rsid w:val="00C34C20"/>
    <w:rsid w:val="00C35A3E"/>
    <w:rsid w:val="00C403A6"/>
    <w:rsid w:val="00C42130"/>
    <w:rsid w:val="00C423A4"/>
    <w:rsid w:val="00C44BF5"/>
    <w:rsid w:val="00C45343"/>
    <w:rsid w:val="00C45D70"/>
    <w:rsid w:val="00C52031"/>
    <w:rsid w:val="00C521D6"/>
    <w:rsid w:val="00C52C68"/>
    <w:rsid w:val="00C55232"/>
    <w:rsid w:val="00C553A4"/>
    <w:rsid w:val="00C55A06"/>
    <w:rsid w:val="00C55D03"/>
    <w:rsid w:val="00C56FB0"/>
    <w:rsid w:val="00C601BC"/>
    <w:rsid w:val="00C60CA5"/>
    <w:rsid w:val="00C60DAB"/>
    <w:rsid w:val="00C6329F"/>
    <w:rsid w:val="00C63340"/>
    <w:rsid w:val="00C643F9"/>
    <w:rsid w:val="00C64E95"/>
    <w:rsid w:val="00C71372"/>
    <w:rsid w:val="00C72410"/>
    <w:rsid w:val="00C7287F"/>
    <w:rsid w:val="00C74677"/>
    <w:rsid w:val="00C74B6A"/>
    <w:rsid w:val="00C756BD"/>
    <w:rsid w:val="00C757B7"/>
    <w:rsid w:val="00C75C01"/>
    <w:rsid w:val="00C7788E"/>
    <w:rsid w:val="00C77BFD"/>
    <w:rsid w:val="00C80CB8"/>
    <w:rsid w:val="00C81259"/>
    <w:rsid w:val="00C819F8"/>
    <w:rsid w:val="00C8248C"/>
    <w:rsid w:val="00C83834"/>
    <w:rsid w:val="00C8428B"/>
    <w:rsid w:val="00C84E33"/>
    <w:rsid w:val="00C85447"/>
    <w:rsid w:val="00C86D6F"/>
    <w:rsid w:val="00C901F0"/>
    <w:rsid w:val="00C903D1"/>
    <w:rsid w:val="00C905FC"/>
    <w:rsid w:val="00C91FE2"/>
    <w:rsid w:val="00C92D03"/>
    <w:rsid w:val="00C9319C"/>
    <w:rsid w:val="00C9435D"/>
    <w:rsid w:val="00C94DF2"/>
    <w:rsid w:val="00C96741"/>
    <w:rsid w:val="00C97174"/>
    <w:rsid w:val="00C977A5"/>
    <w:rsid w:val="00CA259F"/>
    <w:rsid w:val="00CA2B00"/>
    <w:rsid w:val="00CA2D1B"/>
    <w:rsid w:val="00CA2FFB"/>
    <w:rsid w:val="00CA301F"/>
    <w:rsid w:val="00CA375D"/>
    <w:rsid w:val="00CA3D6D"/>
    <w:rsid w:val="00CA47F1"/>
    <w:rsid w:val="00CA5BBB"/>
    <w:rsid w:val="00CA662A"/>
    <w:rsid w:val="00CA7AFD"/>
    <w:rsid w:val="00CA7C3C"/>
    <w:rsid w:val="00CB0189"/>
    <w:rsid w:val="00CB0A6A"/>
    <w:rsid w:val="00CB0BA2"/>
    <w:rsid w:val="00CB1A42"/>
    <w:rsid w:val="00CB1B0C"/>
    <w:rsid w:val="00CB21E2"/>
    <w:rsid w:val="00CB23A3"/>
    <w:rsid w:val="00CB2C0B"/>
    <w:rsid w:val="00CB2F12"/>
    <w:rsid w:val="00CB4F74"/>
    <w:rsid w:val="00CB517D"/>
    <w:rsid w:val="00CC038D"/>
    <w:rsid w:val="00CC050D"/>
    <w:rsid w:val="00CC054D"/>
    <w:rsid w:val="00CC08DB"/>
    <w:rsid w:val="00CC29D1"/>
    <w:rsid w:val="00CC39FF"/>
    <w:rsid w:val="00CC3C2F"/>
    <w:rsid w:val="00CC4AC8"/>
    <w:rsid w:val="00CC5233"/>
    <w:rsid w:val="00CC5B2C"/>
    <w:rsid w:val="00CC5DE6"/>
    <w:rsid w:val="00CC60D2"/>
    <w:rsid w:val="00CC6E4E"/>
    <w:rsid w:val="00CC6FE8"/>
    <w:rsid w:val="00CC7202"/>
    <w:rsid w:val="00CD2235"/>
    <w:rsid w:val="00CD2808"/>
    <w:rsid w:val="00CD28BF"/>
    <w:rsid w:val="00CD301C"/>
    <w:rsid w:val="00CD3384"/>
    <w:rsid w:val="00CD35DA"/>
    <w:rsid w:val="00CD4092"/>
    <w:rsid w:val="00CD4799"/>
    <w:rsid w:val="00CD4A20"/>
    <w:rsid w:val="00CD50A1"/>
    <w:rsid w:val="00CD519E"/>
    <w:rsid w:val="00CD7752"/>
    <w:rsid w:val="00CE05FA"/>
    <w:rsid w:val="00CE0C4F"/>
    <w:rsid w:val="00CE14D9"/>
    <w:rsid w:val="00CE30EA"/>
    <w:rsid w:val="00CE3293"/>
    <w:rsid w:val="00CF048A"/>
    <w:rsid w:val="00CF0794"/>
    <w:rsid w:val="00CF155A"/>
    <w:rsid w:val="00CF261C"/>
    <w:rsid w:val="00CF2947"/>
    <w:rsid w:val="00CF4334"/>
    <w:rsid w:val="00CF5B99"/>
    <w:rsid w:val="00CF5E72"/>
    <w:rsid w:val="00CF686F"/>
    <w:rsid w:val="00CF6D76"/>
    <w:rsid w:val="00CF6E60"/>
    <w:rsid w:val="00CF7BCA"/>
    <w:rsid w:val="00D00298"/>
    <w:rsid w:val="00D008FD"/>
    <w:rsid w:val="00D02AA8"/>
    <w:rsid w:val="00D031D8"/>
    <w:rsid w:val="00D0321C"/>
    <w:rsid w:val="00D035EC"/>
    <w:rsid w:val="00D03D6F"/>
    <w:rsid w:val="00D062FF"/>
    <w:rsid w:val="00D06AB1"/>
    <w:rsid w:val="00D072ED"/>
    <w:rsid w:val="00D07A16"/>
    <w:rsid w:val="00D07A7E"/>
    <w:rsid w:val="00D1067E"/>
    <w:rsid w:val="00D109D4"/>
    <w:rsid w:val="00D10F50"/>
    <w:rsid w:val="00D111EE"/>
    <w:rsid w:val="00D11272"/>
    <w:rsid w:val="00D117F7"/>
    <w:rsid w:val="00D126F5"/>
    <w:rsid w:val="00D1279D"/>
    <w:rsid w:val="00D14348"/>
    <w:rsid w:val="00D1489E"/>
    <w:rsid w:val="00D16D79"/>
    <w:rsid w:val="00D20737"/>
    <w:rsid w:val="00D21E81"/>
    <w:rsid w:val="00D2206C"/>
    <w:rsid w:val="00D223DE"/>
    <w:rsid w:val="00D25E37"/>
    <w:rsid w:val="00D26127"/>
    <w:rsid w:val="00D2661A"/>
    <w:rsid w:val="00D26821"/>
    <w:rsid w:val="00D26DE5"/>
    <w:rsid w:val="00D27582"/>
    <w:rsid w:val="00D27EC4"/>
    <w:rsid w:val="00D32719"/>
    <w:rsid w:val="00D33333"/>
    <w:rsid w:val="00D33457"/>
    <w:rsid w:val="00D352A2"/>
    <w:rsid w:val="00D363F5"/>
    <w:rsid w:val="00D411AF"/>
    <w:rsid w:val="00D4162B"/>
    <w:rsid w:val="00D428BE"/>
    <w:rsid w:val="00D4514F"/>
    <w:rsid w:val="00D451E2"/>
    <w:rsid w:val="00D45969"/>
    <w:rsid w:val="00D45E89"/>
    <w:rsid w:val="00D45E8D"/>
    <w:rsid w:val="00D466AE"/>
    <w:rsid w:val="00D4734F"/>
    <w:rsid w:val="00D4761F"/>
    <w:rsid w:val="00D51BF3"/>
    <w:rsid w:val="00D549FD"/>
    <w:rsid w:val="00D6099E"/>
    <w:rsid w:val="00D61841"/>
    <w:rsid w:val="00D657EF"/>
    <w:rsid w:val="00D658E3"/>
    <w:rsid w:val="00D66846"/>
    <w:rsid w:val="00D675FB"/>
    <w:rsid w:val="00D71F25"/>
    <w:rsid w:val="00D72A9C"/>
    <w:rsid w:val="00D72C3C"/>
    <w:rsid w:val="00D73021"/>
    <w:rsid w:val="00D74B85"/>
    <w:rsid w:val="00D7638A"/>
    <w:rsid w:val="00D7640F"/>
    <w:rsid w:val="00D77031"/>
    <w:rsid w:val="00D77131"/>
    <w:rsid w:val="00D77B1A"/>
    <w:rsid w:val="00D803DF"/>
    <w:rsid w:val="00D80999"/>
    <w:rsid w:val="00D80C93"/>
    <w:rsid w:val="00D81276"/>
    <w:rsid w:val="00D84272"/>
    <w:rsid w:val="00D84941"/>
    <w:rsid w:val="00D84FA1"/>
    <w:rsid w:val="00D851F0"/>
    <w:rsid w:val="00D85500"/>
    <w:rsid w:val="00D85F34"/>
    <w:rsid w:val="00D86D38"/>
    <w:rsid w:val="00D86DB7"/>
    <w:rsid w:val="00D901F4"/>
    <w:rsid w:val="00D926D0"/>
    <w:rsid w:val="00D93030"/>
    <w:rsid w:val="00D9498A"/>
    <w:rsid w:val="00D950E1"/>
    <w:rsid w:val="00D952A6"/>
    <w:rsid w:val="00D97F99"/>
    <w:rsid w:val="00DA10CB"/>
    <w:rsid w:val="00DA1E08"/>
    <w:rsid w:val="00DA20B0"/>
    <w:rsid w:val="00DA24F8"/>
    <w:rsid w:val="00DA2618"/>
    <w:rsid w:val="00DA28E8"/>
    <w:rsid w:val="00DA30A2"/>
    <w:rsid w:val="00DA31F1"/>
    <w:rsid w:val="00DA38D3"/>
    <w:rsid w:val="00DA3932"/>
    <w:rsid w:val="00DA3AFC"/>
    <w:rsid w:val="00DA64F8"/>
    <w:rsid w:val="00DA6C15"/>
    <w:rsid w:val="00DB0258"/>
    <w:rsid w:val="00DB0C0F"/>
    <w:rsid w:val="00DB38EE"/>
    <w:rsid w:val="00DB4211"/>
    <w:rsid w:val="00DB498B"/>
    <w:rsid w:val="00DB5AE0"/>
    <w:rsid w:val="00DB64DA"/>
    <w:rsid w:val="00DB66CA"/>
    <w:rsid w:val="00DB6BCA"/>
    <w:rsid w:val="00DB6DCF"/>
    <w:rsid w:val="00DB73F7"/>
    <w:rsid w:val="00DB757F"/>
    <w:rsid w:val="00DC0321"/>
    <w:rsid w:val="00DC0509"/>
    <w:rsid w:val="00DC0E56"/>
    <w:rsid w:val="00DC1DC3"/>
    <w:rsid w:val="00DC1FE8"/>
    <w:rsid w:val="00DC3067"/>
    <w:rsid w:val="00DC370B"/>
    <w:rsid w:val="00DC40F2"/>
    <w:rsid w:val="00DC4292"/>
    <w:rsid w:val="00DC555B"/>
    <w:rsid w:val="00DC58CE"/>
    <w:rsid w:val="00DC5B90"/>
    <w:rsid w:val="00DC7B64"/>
    <w:rsid w:val="00DD00FF"/>
    <w:rsid w:val="00DD0619"/>
    <w:rsid w:val="00DD07FB"/>
    <w:rsid w:val="00DD0EBD"/>
    <w:rsid w:val="00DD25C6"/>
    <w:rsid w:val="00DD2BE6"/>
    <w:rsid w:val="00DD3B7B"/>
    <w:rsid w:val="00DD4FE5"/>
    <w:rsid w:val="00DD54B0"/>
    <w:rsid w:val="00DD57EE"/>
    <w:rsid w:val="00DD6BCC"/>
    <w:rsid w:val="00DE0A4B"/>
    <w:rsid w:val="00DE20A2"/>
    <w:rsid w:val="00DE2410"/>
    <w:rsid w:val="00DE2939"/>
    <w:rsid w:val="00DE6A20"/>
    <w:rsid w:val="00DE6E81"/>
    <w:rsid w:val="00DE703F"/>
    <w:rsid w:val="00DE7595"/>
    <w:rsid w:val="00DE7D11"/>
    <w:rsid w:val="00DF0A8F"/>
    <w:rsid w:val="00DF1961"/>
    <w:rsid w:val="00DF389C"/>
    <w:rsid w:val="00DF44DE"/>
    <w:rsid w:val="00DF5CA5"/>
    <w:rsid w:val="00DF5F11"/>
    <w:rsid w:val="00DF609A"/>
    <w:rsid w:val="00E01138"/>
    <w:rsid w:val="00E02DFB"/>
    <w:rsid w:val="00E030F9"/>
    <w:rsid w:val="00E0311A"/>
    <w:rsid w:val="00E03138"/>
    <w:rsid w:val="00E03997"/>
    <w:rsid w:val="00E05730"/>
    <w:rsid w:val="00E06404"/>
    <w:rsid w:val="00E11A85"/>
    <w:rsid w:val="00E11E08"/>
    <w:rsid w:val="00E12495"/>
    <w:rsid w:val="00E1386F"/>
    <w:rsid w:val="00E13F2E"/>
    <w:rsid w:val="00E15019"/>
    <w:rsid w:val="00E15CCD"/>
    <w:rsid w:val="00E15ED4"/>
    <w:rsid w:val="00E202EF"/>
    <w:rsid w:val="00E210B5"/>
    <w:rsid w:val="00E21ABD"/>
    <w:rsid w:val="00E22A3A"/>
    <w:rsid w:val="00E23D99"/>
    <w:rsid w:val="00E2552F"/>
    <w:rsid w:val="00E26573"/>
    <w:rsid w:val="00E27E96"/>
    <w:rsid w:val="00E3137A"/>
    <w:rsid w:val="00E32CCF"/>
    <w:rsid w:val="00E3380B"/>
    <w:rsid w:val="00E34A98"/>
    <w:rsid w:val="00E34FE5"/>
    <w:rsid w:val="00E3519C"/>
    <w:rsid w:val="00E357E0"/>
    <w:rsid w:val="00E35D1E"/>
    <w:rsid w:val="00E36080"/>
    <w:rsid w:val="00E362A3"/>
    <w:rsid w:val="00E364F9"/>
    <w:rsid w:val="00E365FA"/>
    <w:rsid w:val="00E36789"/>
    <w:rsid w:val="00E36A1D"/>
    <w:rsid w:val="00E36DAB"/>
    <w:rsid w:val="00E43D61"/>
    <w:rsid w:val="00E44A83"/>
    <w:rsid w:val="00E45D1A"/>
    <w:rsid w:val="00E502C1"/>
    <w:rsid w:val="00E502DD"/>
    <w:rsid w:val="00E50AF1"/>
    <w:rsid w:val="00E50D3A"/>
    <w:rsid w:val="00E51387"/>
    <w:rsid w:val="00E51744"/>
    <w:rsid w:val="00E51E68"/>
    <w:rsid w:val="00E52EFD"/>
    <w:rsid w:val="00E5408A"/>
    <w:rsid w:val="00E5477F"/>
    <w:rsid w:val="00E56800"/>
    <w:rsid w:val="00E60C63"/>
    <w:rsid w:val="00E60F40"/>
    <w:rsid w:val="00E62FF9"/>
    <w:rsid w:val="00E635D6"/>
    <w:rsid w:val="00E639BC"/>
    <w:rsid w:val="00E664CC"/>
    <w:rsid w:val="00E66BB1"/>
    <w:rsid w:val="00E70388"/>
    <w:rsid w:val="00E70F92"/>
    <w:rsid w:val="00E71720"/>
    <w:rsid w:val="00E74C54"/>
    <w:rsid w:val="00E77A03"/>
    <w:rsid w:val="00E77DDF"/>
    <w:rsid w:val="00E8121F"/>
    <w:rsid w:val="00E822E8"/>
    <w:rsid w:val="00E82554"/>
    <w:rsid w:val="00E82606"/>
    <w:rsid w:val="00E82A08"/>
    <w:rsid w:val="00E837FB"/>
    <w:rsid w:val="00E846C8"/>
    <w:rsid w:val="00E84957"/>
    <w:rsid w:val="00E84A55"/>
    <w:rsid w:val="00E85BFF"/>
    <w:rsid w:val="00E8764F"/>
    <w:rsid w:val="00E90391"/>
    <w:rsid w:val="00E906C2"/>
    <w:rsid w:val="00E921C2"/>
    <w:rsid w:val="00E9311F"/>
    <w:rsid w:val="00E934D1"/>
    <w:rsid w:val="00E93C67"/>
    <w:rsid w:val="00E94AF0"/>
    <w:rsid w:val="00E94C0D"/>
    <w:rsid w:val="00E95D13"/>
    <w:rsid w:val="00E95D49"/>
    <w:rsid w:val="00E95DD3"/>
    <w:rsid w:val="00E969D5"/>
    <w:rsid w:val="00EA0002"/>
    <w:rsid w:val="00EA0F8F"/>
    <w:rsid w:val="00EA29C2"/>
    <w:rsid w:val="00EA58D1"/>
    <w:rsid w:val="00EA61BC"/>
    <w:rsid w:val="00EA681A"/>
    <w:rsid w:val="00EA716E"/>
    <w:rsid w:val="00EA735B"/>
    <w:rsid w:val="00EB17DE"/>
    <w:rsid w:val="00EB17EF"/>
    <w:rsid w:val="00EB1E69"/>
    <w:rsid w:val="00EB1EF1"/>
    <w:rsid w:val="00EB2086"/>
    <w:rsid w:val="00EB590C"/>
    <w:rsid w:val="00EB5EDF"/>
    <w:rsid w:val="00EB60FE"/>
    <w:rsid w:val="00EB6478"/>
    <w:rsid w:val="00EB65DB"/>
    <w:rsid w:val="00EB74DB"/>
    <w:rsid w:val="00EC2D1D"/>
    <w:rsid w:val="00EC5359"/>
    <w:rsid w:val="00EC562A"/>
    <w:rsid w:val="00EC6E8D"/>
    <w:rsid w:val="00EC7852"/>
    <w:rsid w:val="00ED067A"/>
    <w:rsid w:val="00ED2B50"/>
    <w:rsid w:val="00ED3416"/>
    <w:rsid w:val="00ED6929"/>
    <w:rsid w:val="00EE0350"/>
    <w:rsid w:val="00EE0719"/>
    <w:rsid w:val="00EE0E80"/>
    <w:rsid w:val="00EE43FA"/>
    <w:rsid w:val="00EE4E0C"/>
    <w:rsid w:val="00EE5071"/>
    <w:rsid w:val="00EE54A6"/>
    <w:rsid w:val="00EE613F"/>
    <w:rsid w:val="00EE7295"/>
    <w:rsid w:val="00EE7869"/>
    <w:rsid w:val="00EE78BC"/>
    <w:rsid w:val="00EF054A"/>
    <w:rsid w:val="00EF0C61"/>
    <w:rsid w:val="00EF1E92"/>
    <w:rsid w:val="00EF3235"/>
    <w:rsid w:val="00EF3B33"/>
    <w:rsid w:val="00EF44F1"/>
    <w:rsid w:val="00EF7E72"/>
    <w:rsid w:val="00F042FB"/>
    <w:rsid w:val="00F066DE"/>
    <w:rsid w:val="00F06C94"/>
    <w:rsid w:val="00F06D37"/>
    <w:rsid w:val="00F07B9D"/>
    <w:rsid w:val="00F11586"/>
    <w:rsid w:val="00F1183B"/>
    <w:rsid w:val="00F11881"/>
    <w:rsid w:val="00F11C9F"/>
    <w:rsid w:val="00F12263"/>
    <w:rsid w:val="00F1409D"/>
    <w:rsid w:val="00F14214"/>
    <w:rsid w:val="00F14F34"/>
    <w:rsid w:val="00F15297"/>
    <w:rsid w:val="00F157A9"/>
    <w:rsid w:val="00F17EF6"/>
    <w:rsid w:val="00F20BDF"/>
    <w:rsid w:val="00F233FA"/>
    <w:rsid w:val="00F24CF2"/>
    <w:rsid w:val="00F25BB6"/>
    <w:rsid w:val="00F26B7E"/>
    <w:rsid w:val="00F27A3B"/>
    <w:rsid w:val="00F32673"/>
    <w:rsid w:val="00F33817"/>
    <w:rsid w:val="00F35D9D"/>
    <w:rsid w:val="00F361C5"/>
    <w:rsid w:val="00F40BCD"/>
    <w:rsid w:val="00F420D5"/>
    <w:rsid w:val="00F437E0"/>
    <w:rsid w:val="00F451EA"/>
    <w:rsid w:val="00F45447"/>
    <w:rsid w:val="00F456C6"/>
    <w:rsid w:val="00F4577B"/>
    <w:rsid w:val="00F46496"/>
    <w:rsid w:val="00F46632"/>
    <w:rsid w:val="00F474D0"/>
    <w:rsid w:val="00F50179"/>
    <w:rsid w:val="00F515EE"/>
    <w:rsid w:val="00F54222"/>
    <w:rsid w:val="00F550A2"/>
    <w:rsid w:val="00F55F55"/>
    <w:rsid w:val="00F56511"/>
    <w:rsid w:val="00F6194E"/>
    <w:rsid w:val="00F623AC"/>
    <w:rsid w:val="00F62608"/>
    <w:rsid w:val="00F6412A"/>
    <w:rsid w:val="00F65893"/>
    <w:rsid w:val="00F66A4A"/>
    <w:rsid w:val="00F6722D"/>
    <w:rsid w:val="00F7096C"/>
    <w:rsid w:val="00F71E22"/>
    <w:rsid w:val="00F72142"/>
    <w:rsid w:val="00F72AE7"/>
    <w:rsid w:val="00F72F34"/>
    <w:rsid w:val="00F7334B"/>
    <w:rsid w:val="00F766C2"/>
    <w:rsid w:val="00F81141"/>
    <w:rsid w:val="00F82C3D"/>
    <w:rsid w:val="00F82E5D"/>
    <w:rsid w:val="00F833BA"/>
    <w:rsid w:val="00F841BC"/>
    <w:rsid w:val="00F84FD0"/>
    <w:rsid w:val="00F859A8"/>
    <w:rsid w:val="00F86D87"/>
    <w:rsid w:val="00F87184"/>
    <w:rsid w:val="00F90D24"/>
    <w:rsid w:val="00F9108B"/>
    <w:rsid w:val="00F91349"/>
    <w:rsid w:val="00F91996"/>
    <w:rsid w:val="00F9215C"/>
    <w:rsid w:val="00F926A9"/>
    <w:rsid w:val="00F92FFD"/>
    <w:rsid w:val="00F93A8A"/>
    <w:rsid w:val="00F95248"/>
    <w:rsid w:val="00F9566D"/>
    <w:rsid w:val="00F956A9"/>
    <w:rsid w:val="00F963ED"/>
    <w:rsid w:val="00F966CF"/>
    <w:rsid w:val="00F968FA"/>
    <w:rsid w:val="00F96CAE"/>
    <w:rsid w:val="00F9721D"/>
    <w:rsid w:val="00F97C99"/>
    <w:rsid w:val="00FA1991"/>
    <w:rsid w:val="00FA253F"/>
    <w:rsid w:val="00FA4DAC"/>
    <w:rsid w:val="00FA6376"/>
    <w:rsid w:val="00FA662D"/>
    <w:rsid w:val="00FA73B1"/>
    <w:rsid w:val="00FA7FFB"/>
    <w:rsid w:val="00FB0CB9"/>
    <w:rsid w:val="00FB231D"/>
    <w:rsid w:val="00FB358F"/>
    <w:rsid w:val="00FB43A5"/>
    <w:rsid w:val="00FB45F1"/>
    <w:rsid w:val="00FB4A72"/>
    <w:rsid w:val="00FB54E8"/>
    <w:rsid w:val="00FB598A"/>
    <w:rsid w:val="00FB7054"/>
    <w:rsid w:val="00FC0330"/>
    <w:rsid w:val="00FC08E7"/>
    <w:rsid w:val="00FC17B7"/>
    <w:rsid w:val="00FC2CB7"/>
    <w:rsid w:val="00FC4090"/>
    <w:rsid w:val="00FC55B4"/>
    <w:rsid w:val="00FD00E6"/>
    <w:rsid w:val="00FD04DA"/>
    <w:rsid w:val="00FD09A1"/>
    <w:rsid w:val="00FD12A4"/>
    <w:rsid w:val="00FD1E20"/>
    <w:rsid w:val="00FD2A7C"/>
    <w:rsid w:val="00FD53FE"/>
    <w:rsid w:val="00FD59EB"/>
    <w:rsid w:val="00FD7299"/>
    <w:rsid w:val="00FE0026"/>
    <w:rsid w:val="00FE0798"/>
    <w:rsid w:val="00FE0B1B"/>
    <w:rsid w:val="00FE1DFA"/>
    <w:rsid w:val="00FE1FBE"/>
    <w:rsid w:val="00FE3901"/>
    <w:rsid w:val="00FE3924"/>
    <w:rsid w:val="00FE39D3"/>
    <w:rsid w:val="00FE4BCE"/>
    <w:rsid w:val="00FE50B0"/>
    <w:rsid w:val="00FE54AE"/>
    <w:rsid w:val="00FE576A"/>
    <w:rsid w:val="00FE5A6C"/>
    <w:rsid w:val="00FE7E79"/>
    <w:rsid w:val="00FF0760"/>
    <w:rsid w:val="00FF3E7D"/>
    <w:rsid w:val="00FF5B99"/>
    <w:rsid w:val="00FF730C"/>
    <w:rsid w:val="00FF73F4"/>
    <w:rsid w:val="00FF7CE4"/>
    <w:rsid w:val="00FF7E39"/>
    <w:rsid w:val="0E27729C"/>
    <w:rsid w:val="14CE2B0D"/>
    <w:rsid w:val="17E04F03"/>
    <w:rsid w:val="282426A1"/>
    <w:rsid w:val="2916379A"/>
    <w:rsid w:val="2BD574EF"/>
    <w:rsid w:val="37C015F6"/>
    <w:rsid w:val="3C6C295C"/>
    <w:rsid w:val="423963DA"/>
    <w:rsid w:val="44F87601"/>
    <w:rsid w:val="47620E32"/>
    <w:rsid w:val="54DB593F"/>
    <w:rsid w:val="59CF1E42"/>
    <w:rsid w:val="5AB04445"/>
    <w:rsid w:val="5F013D1B"/>
    <w:rsid w:val="66186A51"/>
    <w:rsid w:val="666C01DA"/>
    <w:rsid w:val="6ACB06B6"/>
    <w:rsid w:val="6AF1714B"/>
    <w:rsid w:val="6D977584"/>
    <w:rsid w:val="7513273D"/>
    <w:rsid w:val="7FE576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Autospacing="1" w:afterAutospacing="1" w:line="240" w:lineRule="auto"/>
      <w:jc w:val="left"/>
    </w:pPr>
    <w:rPr>
      <w:rFonts w:asciiTheme="minorHAnsi" w:hAnsiTheme="minorHAnsi" w:eastAsiaTheme="minorEastAsia"/>
      <w:kern w:val="0"/>
      <w:sz w:val="24"/>
      <w:szCs w:val="22"/>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3"/>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tabs>
        <w:tab w:val="left" w:pos="851"/>
      </w:tabs>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2"/>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3"/>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tabs>
        <w:tab w:val="left" w:pos="851"/>
      </w:tabs>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tabs>
        <w:tab w:val="left" w:pos="851"/>
      </w:tabs>
      <w:ind w:firstLine="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段 Char"/>
    <w:link w:val="235"/>
    <w:qFormat/>
    <w:uiPriority w:val="0"/>
    <w:rPr>
      <w:rFonts w:ascii="宋体"/>
    </w:rPr>
  </w:style>
  <w:style w:type="paragraph" w:customStyle="1" w:styleId="235">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6">
    <w:name w:val="正文表标题"/>
    <w:next w:val="235"/>
    <w:qFormat/>
    <w:uiPriority w:val="0"/>
    <w:pPr>
      <w:numPr>
        <w:ilvl w:val="0"/>
        <w:numId w:val="3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数字编号列项（二级）"/>
    <w:qFormat/>
    <w:uiPriority w:val="0"/>
    <w:pPr>
      <w:numPr>
        <w:ilvl w:val="1"/>
        <w:numId w:val="31"/>
      </w:numPr>
      <w:tabs>
        <w:tab w:val="left" w:pos="1260"/>
      </w:tabs>
      <w:jc w:val="both"/>
    </w:pPr>
    <w:rPr>
      <w:rFonts w:ascii="宋体" w:hAnsi="Times New Roman" w:eastAsia="宋体" w:cs="Times New Roman"/>
      <w:sz w:val="21"/>
      <w:lang w:val="en-US" w:eastAsia="zh-CN" w:bidi="ar-SA"/>
    </w:rPr>
  </w:style>
  <w:style w:type="paragraph" w:customStyle="1" w:styleId="238">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paragraph" w:customStyle="1" w:styleId="241">
    <w:name w:val="修订2"/>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1"/>
    <w:link w:val="13"/>
    <w:semiHidden/>
    <w:qFormat/>
    <w:uiPriority w:val="99"/>
    <w:rPr>
      <w:rFonts w:ascii="Calibri" w:hAnsi="Calibri"/>
      <w:kern w:val="2"/>
      <w:sz w:val="21"/>
      <w:szCs w:val="21"/>
    </w:rPr>
  </w:style>
  <w:style w:type="character" w:customStyle="1" w:styleId="243">
    <w:name w:val="批注主题 字符"/>
    <w:basedOn w:val="242"/>
    <w:link w:val="28"/>
    <w:semiHidden/>
    <w:qFormat/>
    <w:uiPriority w:val="99"/>
    <w:rPr>
      <w:rFonts w:ascii="Calibri" w:hAnsi="Calibri"/>
      <w:b/>
      <w:bCs/>
      <w:kern w:val="2"/>
      <w:sz w:val="21"/>
      <w:szCs w:val="21"/>
    </w:rPr>
  </w:style>
  <w:style w:type="paragraph" w:customStyle="1" w:styleId="244">
    <w:name w:val="修订3"/>
    <w:hidden/>
    <w:semiHidden/>
    <w:qFormat/>
    <w:uiPriority w:val="99"/>
    <w:rPr>
      <w:rFonts w:ascii="Calibri" w:hAnsi="Calibri" w:eastAsia="宋体" w:cs="Times New Roman"/>
      <w:kern w:val="2"/>
      <w:sz w:val="21"/>
      <w:szCs w:val="21"/>
      <w:lang w:val="en-US" w:eastAsia="zh-CN" w:bidi="ar-SA"/>
    </w:rPr>
  </w:style>
  <w:style w:type="paragraph" w:customStyle="1" w:styleId="245">
    <w:name w:val="修订4"/>
    <w:hidden/>
    <w:semiHidden/>
    <w:qFormat/>
    <w:uiPriority w:val="99"/>
    <w:rPr>
      <w:rFonts w:ascii="Calibri" w:hAnsi="Calibri" w:eastAsia="宋体" w:cs="Times New Roman"/>
      <w:kern w:val="2"/>
      <w:sz w:val="21"/>
      <w:szCs w:val="21"/>
      <w:lang w:val="en-US" w:eastAsia="zh-CN" w:bidi="ar-SA"/>
    </w:rPr>
  </w:style>
  <w:style w:type="paragraph" w:styleId="246">
    <w:name w:val="List Paragraph"/>
    <w:basedOn w:val="1"/>
    <w:qFormat/>
    <w:uiPriority w:val="99"/>
    <w:pPr>
      <w:ind w:firstLine="420" w:firstLineChars="200"/>
    </w:pPr>
  </w:style>
  <w:style w:type="paragraph" w:customStyle="1" w:styleId="247">
    <w:name w:val="my正文"/>
    <w:basedOn w:val="1"/>
    <w:link w:val="248"/>
    <w:qFormat/>
    <w:uiPriority w:val="0"/>
    <w:pPr>
      <w:ind w:firstLine="480"/>
    </w:pPr>
    <w:rPr>
      <w:szCs w:val="24"/>
    </w:rPr>
  </w:style>
  <w:style w:type="character" w:customStyle="1" w:styleId="248">
    <w:name w:val="my正文 Char"/>
    <w:link w:val="247"/>
    <w:qFormat/>
    <w:locked/>
    <w:uiPriority w:val="0"/>
    <w:rPr>
      <w:rFonts w:ascii="Calibri" w:hAnsi="Calibri"/>
      <w:kern w:val="2"/>
      <w:sz w:val="21"/>
      <w:szCs w:val="24"/>
    </w:rPr>
  </w:style>
  <w:style w:type="paragraph" w:customStyle="1" w:styleId="249">
    <w:name w:val="修订5"/>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52EE8F0DFC42D5A4019771F4001ECE"/>
        <w:style w:val=""/>
        <w:category>
          <w:name w:val="常规"/>
          <w:gallery w:val="placeholder"/>
        </w:category>
        <w:types>
          <w:type w:val="bbPlcHdr"/>
        </w:types>
        <w:behaviors>
          <w:behavior w:val="content"/>
        </w:behaviors>
        <w:description w:val=""/>
        <w:guid w:val="{FD75A10B-62BB-441E-94A8-B4D76B024B7B}"/>
      </w:docPartPr>
      <w:docPartBody>
        <w:p w14:paraId="256FB655">
          <w:pPr>
            <w:pStyle w:val="5"/>
          </w:pPr>
          <w:r>
            <w:rPr>
              <w:rStyle w:val="4"/>
              <w:rFonts w:hint="eastAsia"/>
            </w:rPr>
            <w:t>单击或点击此处输入文字。</w:t>
          </w:r>
        </w:p>
      </w:docPartBody>
    </w:docPart>
    <w:docPart>
      <w:docPartPr>
        <w:name w:val="19671D49C8F5453ABC44E7B27A2317C6"/>
        <w:style w:val=""/>
        <w:category>
          <w:name w:val="常规"/>
          <w:gallery w:val="placeholder"/>
        </w:category>
        <w:types>
          <w:type w:val="bbPlcHdr"/>
        </w:types>
        <w:behaviors>
          <w:behavior w:val="content"/>
        </w:behaviors>
        <w:description w:val=""/>
        <w:guid w:val="{A375F0BC-5590-4C30-810D-042D9ED51EB4}"/>
      </w:docPartPr>
      <w:docPartBody>
        <w:p w14:paraId="01F433F4">
          <w:pPr>
            <w:pStyle w:val="6"/>
          </w:pPr>
          <w:r>
            <w:rPr>
              <w:rStyle w:val="4"/>
              <w:rFonts w:hint="eastAsia"/>
            </w:rPr>
            <w:t>选择一项。</w:t>
          </w:r>
        </w:p>
      </w:docPartBody>
    </w:docPart>
    <w:docPart>
      <w:docPartPr>
        <w:name w:val="D41021315688460F8BAE5C0BC51A0AFD"/>
        <w:style w:val=""/>
        <w:category>
          <w:name w:val="常规"/>
          <w:gallery w:val="placeholder"/>
        </w:category>
        <w:types>
          <w:type w:val="bbPlcHdr"/>
        </w:types>
        <w:behaviors>
          <w:behavior w:val="content"/>
        </w:behaviors>
        <w:description w:val=""/>
        <w:guid w:val="{541AFD9C-AD9B-4456-B054-5F049B589098}"/>
      </w:docPartPr>
      <w:docPartBody>
        <w:p w14:paraId="7C22958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64"/>
    <w:rsid w:val="00042AD0"/>
    <w:rsid w:val="000564DD"/>
    <w:rsid w:val="00074FF0"/>
    <w:rsid w:val="000843CB"/>
    <w:rsid w:val="00086B45"/>
    <w:rsid w:val="000A7A05"/>
    <w:rsid w:val="000C387E"/>
    <w:rsid w:val="000C7DD8"/>
    <w:rsid w:val="000F468B"/>
    <w:rsid w:val="000F4B15"/>
    <w:rsid w:val="001266FC"/>
    <w:rsid w:val="001521E0"/>
    <w:rsid w:val="001663D2"/>
    <w:rsid w:val="00182509"/>
    <w:rsid w:val="001A7ADD"/>
    <w:rsid w:val="001C6EA7"/>
    <w:rsid w:val="001F0B7D"/>
    <w:rsid w:val="001F5FAA"/>
    <w:rsid w:val="0024633A"/>
    <w:rsid w:val="00265FB6"/>
    <w:rsid w:val="00275FDB"/>
    <w:rsid w:val="002A4005"/>
    <w:rsid w:val="002A5CA4"/>
    <w:rsid w:val="002B221B"/>
    <w:rsid w:val="002D0DC6"/>
    <w:rsid w:val="002D5A04"/>
    <w:rsid w:val="002E562D"/>
    <w:rsid w:val="002E5A94"/>
    <w:rsid w:val="003315C9"/>
    <w:rsid w:val="0035096C"/>
    <w:rsid w:val="00355E17"/>
    <w:rsid w:val="00380449"/>
    <w:rsid w:val="00382BDD"/>
    <w:rsid w:val="00390C60"/>
    <w:rsid w:val="003A0A60"/>
    <w:rsid w:val="003B7374"/>
    <w:rsid w:val="003C0915"/>
    <w:rsid w:val="003C37CD"/>
    <w:rsid w:val="003F39F6"/>
    <w:rsid w:val="00424CD0"/>
    <w:rsid w:val="004357A6"/>
    <w:rsid w:val="00443F07"/>
    <w:rsid w:val="004547BB"/>
    <w:rsid w:val="00464118"/>
    <w:rsid w:val="004A227F"/>
    <w:rsid w:val="004B6B48"/>
    <w:rsid w:val="004D192C"/>
    <w:rsid w:val="00510EB5"/>
    <w:rsid w:val="00514B74"/>
    <w:rsid w:val="00516973"/>
    <w:rsid w:val="00530947"/>
    <w:rsid w:val="005321BF"/>
    <w:rsid w:val="00536DCB"/>
    <w:rsid w:val="005566A7"/>
    <w:rsid w:val="005678EE"/>
    <w:rsid w:val="00580082"/>
    <w:rsid w:val="00581FA4"/>
    <w:rsid w:val="005D0338"/>
    <w:rsid w:val="00601533"/>
    <w:rsid w:val="00601B67"/>
    <w:rsid w:val="006079C7"/>
    <w:rsid w:val="0061006E"/>
    <w:rsid w:val="00617220"/>
    <w:rsid w:val="00631EE9"/>
    <w:rsid w:val="00640E34"/>
    <w:rsid w:val="006449FE"/>
    <w:rsid w:val="00655BA7"/>
    <w:rsid w:val="00693385"/>
    <w:rsid w:val="006942EC"/>
    <w:rsid w:val="006B42A2"/>
    <w:rsid w:val="007050D1"/>
    <w:rsid w:val="007052A1"/>
    <w:rsid w:val="00710816"/>
    <w:rsid w:val="00780B5A"/>
    <w:rsid w:val="0078767D"/>
    <w:rsid w:val="007A10A0"/>
    <w:rsid w:val="007D544C"/>
    <w:rsid w:val="0085361A"/>
    <w:rsid w:val="0087765A"/>
    <w:rsid w:val="008E5458"/>
    <w:rsid w:val="008F0A24"/>
    <w:rsid w:val="00910607"/>
    <w:rsid w:val="00916B0D"/>
    <w:rsid w:val="00941EE3"/>
    <w:rsid w:val="00947DE5"/>
    <w:rsid w:val="009650C8"/>
    <w:rsid w:val="009B1783"/>
    <w:rsid w:val="009C24E2"/>
    <w:rsid w:val="009D4B30"/>
    <w:rsid w:val="009D620A"/>
    <w:rsid w:val="009E2AEE"/>
    <w:rsid w:val="009F062A"/>
    <w:rsid w:val="009F0E23"/>
    <w:rsid w:val="009F4207"/>
    <w:rsid w:val="00A31348"/>
    <w:rsid w:val="00A63D62"/>
    <w:rsid w:val="00A94179"/>
    <w:rsid w:val="00AB6E09"/>
    <w:rsid w:val="00AD324F"/>
    <w:rsid w:val="00AE7B6B"/>
    <w:rsid w:val="00AF6311"/>
    <w:rsid w:val="00B035B6"/>
    <w:rsid w:val="00B0415B"/>
    <w:rsid w:val="00B04B72"/>
    <w:rsid w:val="00B152F4"/>
    <w:rsid w:val="00B56A0F"/>
    <w:rsid w:val="00B84058"/>
    <w:rsid w:val="00BA5064"/>
    <w:rsid w:val="00C06E2E"/>
    <w:rsid w:val="00C2303C"/>
    <w:rsid w:val="00C80471"/>
    <w:rsid w:val="00C83E6A"/>
    <w:rsid w:val="00C86202"/>
    <w:rsid w:val="00C91119"/>
    <w:rsid w:val="00C92664"/>
    <w:rsid w:val="00CA02B6"/>
    <w:rsid w:val="00CB6F8A"/>
    <w:rsid w:val="00CD7BC9"/>
    <w:rsid w:val="00CF6DB5"/>
    <w:rsid w:val="00D348D1"/>
    <w:rsid w:val="00D85393"/>
    <w:rsid w:val="00D86CBD"/>
    <w:rsid w:val="00D87AF9"/>
    <w:rsid w:val="00D90B74"/>
    <w:rsid w:val="00DC555B"/>
    <w:rsid w:val="00DD2874"/>
    <w:rsid w:val="00DD6F76"/>
    <w:rsid w:val="00DE5838"/>
    <w:rsid w:val="00DF5B47"/>
    <w:rsid w:val="00E05730"/>
    <w:rsid w:val="00E11414"/>
    <w:rsid w:val="00E11D23"/>
    <w:rsid w:val="00E325AB"/>
    <w:rsid w:val="00E41FA9"/>
    <w:rsid w:val="00E56E32"/>
    <w:rsid w:val="00E62FBF"/>
    <w:rsid w:val="00E9025F"/>
    <w:rsid w:val="00EA3477"/>
    <w:rsid w:val="00EB63D9"/>
    <w:rsid w:val="00EC6E11"/>
    <w:rsid w:val="00EC6E8D"/>
    <w:rsid w:val="00EF574D"/>
    <w:rsid w:val="00F040FA"/>
    <w:rsid w:val="00F12373"/>
    <w:rsid w:val="00F1444B"/>
    <w:rsid w:val="00F14E43"/>
    <w:rsid w:val="00F27CC3"/>
    <w:rsid w:val="00F41670"/>
    <w:rsid w:val="00F54170"/>
    <w:rsid w:val="00F71F2C"/>
    <w:rsid w:val="00F82C3D"/>
    <w:rsid w:val="00F82E5D"/>
    <w:rsid w:val="00F9456E"/>
    <w:rsid w:val="00FA306C"/>
    <w:rsid w:val="00FD4F66"/>
    <w:rsid w:val="00FE19F5"/>
    <w:rsid w:val="00FF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52EE8F0DFC42D5A4019771F4001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671D49C8F5453ABC44E7B27A2317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41021315688460F8BAE5C0BC51A0AF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A53C-179B-4995-A3B8-AEFDF53D58B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1311</Words>
  <Characters>1522</Characters>
  <Lines>60</Lines>
  <Paragraphs>17</Paragraphs>
  <TotalTime>15</TotalTime>
  <ScaleCrop>false</ScaleCrop>
  <LinksUpToDate>false</LinksUpToDate>
  <CharactersWithSpaces>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2025-05-13T02:12:00Z</dcterms:created>
  <dc:creator>GD-0103-0132</dc:creator>
  <dc:description>&lt;config cover="true" show_menu="true" version="1.0.0" doctype="SDKXY"&gt;_x000d_
&lt;/config&gt;</dc:description>
  <cp:lastModifiedBy>胡瓜</cp:lastModifiedBy>
  <cp:lastPrinted>2024-12-02T08:23:00Z</cp:lastPrinted>
  <dcterms:modified xsi:type="dcterms:W3CDTF">2025-05-14T02:50:24Z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2864D8C08B83449ABD8AC977EB7D0C2A</vt:lpwstr>
  </property>
  <property fmtid="{D5CDD505-2E9C-101B-9397-08002B2CF9AE}" pid="16" name="KSOTemplateDocerSaveRecord">
    <vt:lpwstr>eyJoZGlkIjoiYWIzMzZjMTc5MjljNmE2OTJkMzZlNWVhZjZkMjEwMDgiLCJ1c2VySWQiOiI5OTYxMTY1NzEifQ==</vt:lpwstr>
  </property>
</Properties>
</file>